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03" w:rsidRDefault="00446643" w:rsidP="00730903">
      <w:pPr>
        <w:spacing w:before="55" w:after="0" w:line="240" w:lineRule="auto"/>
        <w:ind w:left="315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Sea Spray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Wband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Radar</w:t>
      </w:r>
      <w:r w:rsidR="007309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Module</w:t>
      </w:r>
    </w:p>
    <w:p w:rsidR="00CB379C" w:rsidRDefault="00CB379C" w:rsidP="00730903">
      <w:pPr>
        <w:spacing w:before="55" w:after="0" w:line="240" w:lineRule="auto"/>
        <w:ind w:left="3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NOAA HFIP2013 Hurricane Field Program</w:t>
      </w:r>
    </w:p>
    <w:bookmarkEnd w:id="0"/>
    <w:p w:rsidR="00730903" w:rsidRDefault="00730903" w:rsidP="00730903">
      <w:pPr>
        <w:spacing w:before="10" w:after="0" w:line="260" w:lineRule="exact"/>
        <w:rPr>
          <w:sz w:val="26"/>
          <w:szCs w:val="26"/>
        </w:rPr>
      </w:pPr>
    </w:p>
    <w:p w:rsidR="00730903" w:rsidRDefault="00730903" w:rsidP="00730903">
      <w:pPr>
        <w:spacing w:after="0" w:line="240" w:lineRule="auto"/>
        <w:ind w:left="106" w:right="143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Inves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 w:rsidR="008A457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Chris Fairall (ESRL) and Joe </w:t>
      </w:r>
      <w:proofErr w:type="spellStart"/>
      <w:r w:rsidR="008A457B">
        <w:rPr>
          <w:rFonts w:ascii="Times New Roman" w:eastAsia="Times New Roman" w:hAnsi="Times New Roman" w:cs="Times New Roman"/>
          <w:spacing w:val="4"/>
          <w:sz w:val="21"/>
          <w:szCs w:val="21"/>
        </w:rPr>
        <w:t>Cione</w:t>
      </w:r>
      <w:proofErr w:type="spellEnd"/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="008A457B">
        <w:rPr>
          <w:rFonts w:ascii="Times New Roman" w:eastAsia="Times New Roman" w:hAnsi="Times New Roman" w:cs="Times New Roman"/>
          <w:spacing w:val="1"/>
          <w:sz w:val="21"/>
          <w:szCs w:val="21"/>
        </w:rPr>
        <w:t>HRD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:rsidR="00730903" w:rsidRDefault="00730903" w:rsidP="00730903">
      <w:pPr>
        <w:spacing w:before="7" w:after="0" w:line="260" w:lineRule="exact"/>
        <w:rPr>
          <w:sz w:val="26"/>
          <w:szCs w:val="26"/>
        </w:rPr>
      </w:pPr>
    </w:p>
    <w:p w:rsidR="00730903" w:rsidRDefault="00730903" w:rsidP="00730903">
      <w:pPr>
        <w:spacing w:after="0" w:line="240" w:lineRule="auto"/>
        <w:ind w:left="106" w:right="644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="008A457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Joe </w:t>
      </w:r>
      <w:proofErr w:type="spellStart"/>
      <w:r w:rsidR="008A457B">
        <w:rPr>
          <w:rFonts w:ascii="Times New Roman" w:eastAsia="Times New Roman" w:hAnsi="Times New Roman" w:cs="Times New Roman"/>
          <w:spacing w:val="3"/>
          <w:sz w:val="21"/>
          <w:szCs w:val="21"/>
        </w:rPr>
        <w:t>Cione</w:t>
      </w:r>
      <w:proofErr w:type="spellEnd"/>
    </w:p>
    <w:p w:rsidR="00730903" w:rsidRDefault="00730903" w:rsidP="00730903">
      <w:pPr>
        <w:spacing w:before="3" w:after="0" w:line="260" w:lineRule="exact"/>
        <w:rPr>
          <w:sz w:val="26"/>
          <w:szCs w:val="26"/>
        </w:rPr>
      </w:pPr>
    </w:p>
    <w:p w:rsidR="00730903" w:rsidRDefault="00730903" w:rsidP="00730903">
      <w:pPr>
        <w:spacing w:after="0" w:line="252" w:lineRule="auto"/>
        <w:ind w:left="106" w:right="5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nk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 w:rsidR="007B621D">
        <w:rPr>
          <w:rFonts w:ascii="Times New Roman" w:eastAsia="Times New Roman" w:hAnsi="Times New Roman" w:cs="Times New Roman"/>
          <w:w w:val="103"/>
          <w:sz w:val="21"/>
          <w:szCs w:val="21"/>
        </w:rPr>
        <w:t>.</w:t>
      </w:r>
    </w:p>
    <w:p w:rsidR="00730903" w:rsidRDefault="00730903" w:rsidP="00730903">
      <w:pPr>
        <w:spacing w:before="15" w:after="0" w:line="240" w:lineRule="exact"/>
        <w:rPr>
          <w:sz w:val="24"/>
          <w:szCs w:val="24"/>
        </w:rPr>
      </w:pPr>
    </w:p>
    <w:p w:rsidR="00730903" w:rsidRDefault="00730903" w:rsidP="007B621D">
      <w:pPr>
        <w:spacing w:after="0" w:line="252" w:lineRule="auto"/>
        <w:ind w:left="106" w:right="48"/>
        <w:jc w:val="both"/>
        <w:rPr>
          <w:rFonts w:ascii="Times New Roman" w:eastAsia="Times New Roman" w:hAnsi="Times New Roman" w:cs="Times New Roman"/>
          <w:spacing w:val="8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exchange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-spee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dependen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coeff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034A09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One potentially important aspect of surface flux interactions is the influence of sea spray.  Fairall et al. (2009) have developed a parameterization of sea spray that is linked to energy going to breaking waves.  This parameterization has seen application in several numerical simulation studies (</w:t>
      </w:r>
      <w:proofErr w:type="spellStart"/>
      <w:r w:rsidR="00034A09">
        <w:rPr>
          <w:rFonts w:ascii="Times New Roman" w:eastAsia="Times New Roman" w:hAnsi="Times New Roman" w:cs="Times New Roman"/>
          <w:spacing w:val="8"/>
          <w:sz w:val="21"/>
          <w:szCs w:val="21"/>
        </w:rPr>
        <w:t>Bianco</w:t>
      </w:r>
      <w:proofErr w:type="spellEnd"/>
      <w:r w:rsidR="00034A09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et al. 2011; </w:t>
      </w:r>
      <w:proofErr w:type="spellStart"/>
      <w:r w:rsidR="00034A09">
        <w:rPr>
          <w:rFonts w:ascii="Times New Roman" w:eastAsia="Times New Roman" w:hAnsi="Times New Roman" w:cs="Times New Roman"/>
          <w:spacing w:val="8"/>
          <w:sz w:val="21"/>
          <w:szCs w:val="21"/>
        </w:rPr>
        <w:t>Bao</w:t>
      </w:r>
      <w:proofErr w:type="spellEnd"/>
      <w:r w:rsidR="00034A09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et al. 2011).  However, the model contains an adjustable scaling parameter that can be determined by direct field observations of sea spray droplet spectra.  Attempts during CBLAST to do these measuremen</w:t>
      </w:r>
      <w:r w:rsidR="00D251A5">
        <w:rPr>
          <w:rFonts w:ascii="Times New Roman" w:eastAsia="Times New Roman" w:hAnsi="Times New Roman" w:cs="Times New Roman"/>
          <w:spacing w:val="8"/>
          <w:sz w:val="21"/>
          <w:szCs w:val="21"/>
        </w:rPr>
        <w:t>ts with optical droplet imaging probe (CIP) were not successful because of the impracticality of flying low enough in strong winds (U10&gt;30 m/s).  For HFP13 we plan to obtain these measurements using a profile Doppler cloud radar operating at W-band (94 GHz) frequency.  The radar has been deployed on ship since 2008 and was recently repackaged for deployment on NOAA P-3 aircraft (Moran et al. 2012).</w:t>
      </w:r>
      <w:r w:rsidR="00541ACA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 Measurements of sea spray are required for the HFIP Model Physics and Model Strategy milestones.</w:t>
      </w:r>
    </w:p>
    <w:p w:rsidR="00D251A5" w:rsidRDefault="00D251A5" w:rsidP="007B621D">
      <w:pPr>
        <w:spacing w:after="0" w:line="252" w:lineRule="auto"/>
        <w:ind w:left="106" w:right="48"/>
        <w:jc w:val="both"/>
        <w:rPr>
          <w:rFonts w:ascii="Times New Roman" w:eastAsia="Times New Roman" w:hAnsi="Times New Roman" w:cs="Times New Roman"/>
          <w:spacing w:val="8"/>
          <w:sz w:val="21"/>
          <w:szCs w:val="21"/>
        </w:rPr>
      </w:pPr>
    </w:p>
    <w:p w:rsidR="00D251A5" w:rsidRDefault="008307E9" w:rsidP="007B621D">
      <w:pPr>
        <w:spacing w:after="0" w:line="252" w:lineRule="auto"/>
        <w:ind w:left="106" w:right="48"/>
        <w:jc w:val="both"/>
        <w:rPr>
          <w:rFonts w:ascii="Times New Roman" w:eastAsia="Times New Roman" w:hAnsi="Times New Roman" w:cs="Times New Roman"/>
          <w:spacing w:val="8"/>
          <w:sz w:val="21"/>
          <w:szCs w:val="21"/>
        </w:rPr>
      </w:pP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Profiles of full Doppler spectra from the radar will be recorded.  We will also archive the first 3 moments of the spectra (</w:t>
      </w:r>
      <w:proofErr w:type="spellStart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>dBZ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, mean velocity, Doppler width).  Nominal radar operating characteristics (subject to adjustment) will be 3 Hz dwell, 20 m range resolution, 175 range gates. The maximum range will be nominally 3.5 km so sea spray will only be observed when the aircraft is below 3.5 km altitude (11,500 </w:t>
      </w:r>
      <w:proofErr w:type="spellStart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>ft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).  At those setting, the sensitivity threshold of the radar is -33 </w:t>
      </w:r>
      <w:proofErr w:type="spellStart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>dBZ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at a 1 km range.  However, detection of the full droplet spectrum will require a signal of about -23 </w:t>
      </w:r>
      <w:proofErr w:type="spellStart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>dBZ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at 1 km or </w:t>
      </w:r>
      <w:r w:rsidRPr="00814881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 xml:space="preserve">-17.5 </w:t>
      </w:r>
      <w:proofErr w:type="spellStart"/>
      <w:r w:rsidRPr="00814881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>dBZ</w:t>
      </w:r>
      <w:proofErr w:type="spellEnd"/>
      <w:r w:rsidRPr="00814881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 xml:space="preserve"> at 3.5 km.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 Note that -17 </w:t>
      </w:r>
      <w:proofErr w:type="spellStart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>dBZ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corresponds to a thin stratus cloud; drizzle is -5 to 5 </w:t>
      </w:r>
      <w:proofErr w:type="spellStart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>dBZ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, light rain is 15 </w:t>
      </w:r>
      <w:proofErr w:type="spellStart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>dBZ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.  </w:t>
      </w:r>
      <w:r w:rsidR="00814881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Turbulent </w:t>
      </w:r>
    </w:p>
    <w:p w:rsidR="007B621D" w:rsidRDefault="007B621D" w:rsidP="007B621D">
      <w:pPr>
        <w:spacing w:after="0" w:line="252" w:lineRule="auto"/>
        <w:ind w:left="106" w:right="48"/>
        <w:jc w:val="both"/>
        <w:rPr>
          <w:rFonts w:ascii="Times New Roman" w:eastAsia="Times New Roman" w:hAnsi="Times New Roman" w:cs="Times New Roman"/>
          <w:spacing w:val="8"/>
          <w:sz w:val="21"/>
          <w:szCs w:val="21"/>
        </w:rPr>
      </w:pPr>
    </w:p>
    <w:p w:rsidR="007B621D" w:rsidRDefault="007B621D" w:rsidP="007B621D">
      <w:pPr>
        <w:spacing w:after="0" w:line="252" w:lineRule="auto"/>
        <w:ind w:left="106" w:right="4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30903" w:rsidRDefault="007A5E26" w:rsidP="00730903">
      <w:pPr>
        <w:spacing w:after="0" w:line="240" w:lineRule="auto"/>
        <w:ind w:left="1474" w:right="-20"/>
        <w:rPr>
          <w:rFonts w:ascii="Times New Roman" w:eastAsia="Times New Roman" w:hAnsi="Times New Roman" w:cs="Times New Roman"/>
          <w:sz w:val="20"/>
          <w:szCs w:val="20"/>
        </w:rPr>
      </w:pPr>
      <w:r w:rsidRPr="007A5E2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BD9B545" wp14:editId="13FC291B">
            <wp:extent cx="3776892" cy="2833991"/>
            <wp:effectExtent l="0" t="0" r="0" b="5080"/>
            <wp:docPr id="26631" name="Picture 10" descr="radar_dbz_40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1" name="Picture 10" descr="radar_dbz_40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361" cy="28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0903" w:rsidRDefault="00730903" w:rsidP="00730903">
      <w:pPr>
        <w:spacing w:before="7" w:after="0" w:line="110" w:lineRule="exact"/>
        <w:rPr>
          <w:sz w:val="11"/>
          <w:szCs w:val="11"/>
        </w:rPr>
      </w:pPr>
    </w:p>
    <w:p w:rsidR="007A5E26" w:rsidRDefault="007A5E26" w:rsidP="00730903">
      <w:pPr>
        <w:spacing w:after="0" w:line="234" w:lineRule="auto"/>
        <w:ind w:left="106" w:right="37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A5E26" w:rsidRDefault="007A5E26" w:rsidP="00730903">
      <w:pPr>
        <w:spacing w:after="0" w:line="234" w:lineRule="auto"/>
        <w:ind w:left="106" w:right="37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0903" w:rsidRPr="00206513" w:rsidRDefault="00730903" w:rsidP="00730903">
      <w:pPr>
        <w:spacing w:after="0" w:line="234" w:lineRule="auto"/>
        <w:ind w:left="106" w:right="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Figur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A5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5E26" w:rsidRPr="00206513">
        <w:rPr>
          <w:rFonts w:ascii="Times New Roman" w:eastAsia="Times New Roman" w:hAnsi="Times New Roman" w:cs="Times New Roman"/>
          <w:bCs/>
        </w:rPr>
        <w:t>Profile of radar backscatter intensity (</w:t>
      </w:r>
      <w:proofErr w:type="spellStart"/>
      <w:r w:rsidR="007A5E26" w:rsidRPr="00206513">
        <w:rPr>
          <w:rFonts w:ascii="Times New Roman" w:eastAsia="Times New Roman" w:hAnsi="Times New Roman" w:cs="Times New Roman"/>
          <w:bCs/>
        </w:rPr>
        <w:t>dBZ</w:t>
      </w:r>
      <w:proofErr w:type="spellEnd"/>
      <w:r w:rsidR="007A5E26" w:rsidRPr="00206513">
        <w:rPr>
          <w:rFonts w:ascii="Times New Roman" w:eastAsia="Times New Roman" w:hAnsi="Times New Roman" w:cs="Times New Roman"/>
          <w:bCs/>
        </w:rPr>
        <w:t xml:space="preserve">) estimated from PSD </w:t>
      </w:r>
      <w:proofErr w:type="spellStart"/>
      <w:r w:rsidR="007A5E26" w:rsidRPr="00206513">
        <w:rPr>
          <w:rFonts w:ascii="Times New Roman" w:eastAsia="Times New Roman" w:hAnsi="Times New Roman" w:cs="Times New Roman"/>
          <w:bCs/>
        </w:rPr>
        <w:t>seaspray</w:t>
      </w:r>
      <w:proofErr w:type="spellEnd"/>
      <w:r w:rsidR="007A5E26" w:rsidRPr="00206513">
        <w:rPr>
          <w:rFonts w:ascii="Times New Roman" w:eastAsia="Times New Roman" w:hAnsi="Times New Roman" w:cs="Times New Roman"/>
          <w:bCs/>
        </w:rPr>
        <w:t xml:space="preserve"> model for a 10-m wind speed of 40 m/s</w:t>
      </w:r>
      <w:r w:rsidRPr="00206513">
        <w:rPr>
          <w:rFonts w:ascii="Times New Roman" w:eastAsia="Times New Roman" w:hAnsi="Times New Roman" w:cs="Times New Roman"/>
          <w:spacing w:val="-4"/>
        </w:rPr>
        <w:t>.</w:t>
      </w:r>
    </w:p>
    <w:p w:rsidR="00814881" w:rsidRDefault="00814881" w:rsidP="00730903">
      <w:pPr>
        <w:spacing w:after="0"/>
        <w:jc w:val="both"/>
      </w:pPr>
    </w:p>
    <w:p w:rsidR="00814881" w:rsidRDefault="00814881" w:rsidP="00814881">
      <w:pPr>
        <w:spacing w:after="0" w:line="252" w:lineRule="auto"/>
        <w:ind w:left="106" w:right="48"/>
        <w:jc w:val="both"/>
        <w:rPr>
          <w:rFonts w:ascii="Times New Roman" w:eastAsia="Times New Roman" w:hAnsi="Times New Roman" w:cs="Times New Roman"/>
          <w:spacing w:val="8"/>
          <w:sz w:val="21"/>
          <w:szCs w:val="21"/>
        </w:rPr>
      </w:pP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transport theory allows us to relate the profile of droplet concentration to the surface source strength </w:t>
      </w:r>
    </w:p>
    <w:p w:rsidR="00814881" w:rsidRDefault="00814881" w:rsidP="00814881">
      <w:pPr>
        <w:spacing w:after="0" w:line="252" w:lineRule="auto"/>
        <w:ind w:left="106" w:right="48"/>
        <w:jc w:val="both"/>
        <w:rPr>
          <w:rFonts w:ascii="Times New Roman" w:eastAsia="Times New Roman" w:hAnsi="Times New Roman" w:cs="Times New Roman"/>
          <w:spacing w:val="8"/>
          <w:sz w:val="21"/>
          <w:szCs w:val="21"/>
        </w:rPr>
      </w:pP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(Fairall et al. 2009, 20012).  Fig. 1 shows an example where the profile of radar </w:t>
      </w:r>
      <w:proofErr w:type="spellStart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>dBZ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is computed using the PSD sea spray model.  This suggests that sea spray looks much like drizzle to the radar and that we have about 10 </w:t>
      </w:r>
      <w:proofErr w:type="spellStart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>dBZ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extra sensitivity to detect sea spray</w:t>
      </w:r>
      <w:r w:rsidR="00206513">
        <w:rPr>
          <w:rFonts w:ascii="Times New Roman" w:eastAsia="Times New Roman" w:hAnsi="Times New Roman" w:cs="Times New Roman"/>
          <w:spacing w:val="8"/>
          <w:sz w:val="21"/>
          <w:szCs w:val="21"/>
        </w:rPr>
        <w:t>.</w:t>
      </w:r>
      <w:r w:rsidR="003A36A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 An estimate of observational accuracy required to validate the model/parameterizations is given in Table 1.</w:t>
      </w:r>
    </w:p>
    <w:p w:rsidR="003A36A7" w:rsidRDefault="003A36A7" w:rsidP="00814881">
      <w:pPr>
        <w:spacing w:after="0" w:line="252" w:lineRule="auto"/>
        <w:ind w:left="106" w:right="48"/>
        <w:jc w:val="both"/>
        <w:rPr>
          <w:rFonts w:ascii="Times New Roman" w:eastAsia="Times New Roman" w:hAnsi="Times New Roman" w:cs="Times New Roman"/>
          <w:spacing w:val="8"/>
          <w:sz w:val="21"/>
          <w:szCs w:val="21"/>
        </w:rPr>
      </w:pPr>
    </w:p>
    <w:p w:rsidR="003A36A7" w:rsidRDefault="003A36A7" w:rsidP="003A36A7">
      <w:pPr>
        <w:spacing w:after="0"/>
        <w:jc w:val="both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83"/>
        <w:gridCol w:w="3283"/>
        <w:gridCol w:w="3284"/>
      </w:tblGrid>
      <w:tr w:rsidR="003A36A7" w:rsidTr="003A3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A7" w:rsidRPr="003A36A7" w:rsidRDefault="003A36A7" w:rsidP="00A83A45">
            <w:pPr>
              <w:spacing w:after="0"/>
              <w:jc w:val="both"/>
              <w:rPr>
                <w:b w:val="0"/>
              </w:rPr>
            </w:pPr>
            <w:r>
              <w:t xml:space="preserve">Table 1.  </w:t>
            </w:r>
            <w:r>
              <w:rPr>
                <w:b w:val="0"/>
              </w:rPr>
              <w:t>Airborne W-band Doppler radar accuracies and resolutions</w:t>
            </w:r>
          </w:p>
        </w:tc>
      </w:tr>
      <w:tr w:rsidR="003A36A7" w:rsidTr="003A3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6A7" w:rsidRDefault="003A36A7" w:rsidP="003A36A7">
            <w:pPr>
              <w:spacing w:after="0"/>
              <w:jc w:val="both"/>
            </w:pPr>
            <w:r>
              <w:t>Attribute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3A36A7" w:rsidRDefault="0018649A" w:rsidP="00A83A4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</w:t>
            </w:r>
          </w:p>
        </w:tc>
        <w:tc>
          <w:tcPr>
            <w:tcW w:w="3284" w:type="dxa"/>
            <w:tcBorders>
              <w:bottom w:val="single" w:sz="4" w:space="0" w:color="auto"/>
              <w:right w:val="single" w:sz="4" w:space="0" w:color="auto"/>
            </w:tcBorders>
          </w:tcPr>
          <w:p w:rsidR="003A36A7" w:rsidRDefault="0018649A" w:rsidP="00A83A4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PSD </w:t>
            </w:r>
            <w:proofErr w:type="spellStart"/>
            <w:r>
              <w:t>Wband</w:t>
            </w:r>
            <w:proofErr w:type="spellEnd"/>
            <w:r>
              <w:t xml:space="preserve"> Specification</w:t>
            </w:r>
          </w:p>
        </w:tc>
      </w:tr>
      <w:tr w:rsidR="003A36A7" w:rsidTr="003A3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single" w:sz="4" w:space="0" w:color="auto"/>
              <w:left w:val="single" w:sz="4" w:space="0" w:color="auto"/>
            </w:tcBorders>
          </w:tcPr>
          <w:p w:rsidR="003A36A7" w:rsidRDefault="0018649A" w:rsidP="00A83A45">
            <w:pPr>
              <w:spacing w:after="0"/>
              <w:jc w:val="both"/>
            </w:pPr>
            <w:r>
              <w:t>Sampling interval</w:t>
            </w:r>
          </w:p>
        </w:tc>
        <w:tc>
          <w:tcPr>
            <w:tcW w:w="3283" w:type="dxa"/>
            <w:tcBorders>
              <w:top w:val="single" w:sz="4" w:space="0" w:color="auto"/>
            </w:tcBorders>
          </w:tcPr>
          <w:p w:rsidR="003A36A7" w:rsidRDefault="0018649A" w:rsidP="00A83A4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 s</w:t>
            </w:r>
          </w:p>
        </w:tc>
        <w:tc>
          <w:tcPr>
            <w:tcW w:w="3284" w:type="dxa"/>
            <w:tcBorders>
              <w:top w:val="single" w:sz="4" w:space="0" w:color="auto"/>
              <w:right w:val="single" w:sz="4" w:space="0" w:color="auto"/>
            </w:tcBorders>
          </w:tcPr>
          <w:p w:rsidR="003A36A7" w:rsidRDefault="0018649A" w:rsidP="00A83A4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 s</w:t>
            </w:r>
          </w:p>
        </w:tc>
      </w:tr>
      <w:tr w:rsidR="003A36A7" w:rsidTr="003A3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left w:val="single" w:sz="4" w:space="0" w:color="auto"/>
            </w:tcBorders>
          </w:tcPr>
          <w:p w:rsidR="003A36A7" w:rsidRDefault="0018649A" w:rsidP="00A83A45">
            <w:pPr>
              <w:spacing w:after="0"/>
              <w:jc w:val="both"/>
            </w:pPr>
            <w:r>
              <w:t>Horizontal resolution</w:t>
            </w:r>
          </w:p>
        </w:tc>
        <w:tc>
          <w:tcPr>
            <w:tcW w:w="3283" w:type="dxa"/>
          </w:tcPr>
          <w:p w:rsidR="003A36A7" w:rsidRDefault="0018649A" w:rsidP="00A83A4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 m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3A36A7" w:rsidRDefault="0018649A" w:rsidP="00A83A4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m</w:t>
            </w:r>
          </w:p>
        </w:tc>
      </w:tr>
      <w:tr w:rsidR="003A36A7" w:rsidTr="003A3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left w:val="single" w:sz="4" w:space="0" w:color="auto"/>
              <w:bottom w:val="single" w:sz="4" w:space="0" w:color="999999" w:themeColor="text1" w:themeTint="66"/>
            </w:tcBorders>
          </w:tcPr>
          <w:p w:rsidR="003A36A7" w:rsidRDefault="0018649A" w:rsidP="00A83A45">
            <w:pPr>
              <w:spacing w:after="0"/>
              <w:jc w:val="both"/>
            </w:pPr>
            <w:r>
              <w:t>Vertical resolution</w:t>
            </w:r>
          </w:p>
        </w:tc>
        <w:tc>
          <w:tcPr>
            <w:tcW w:w="3283" w:type="dxa"/>
            <w:tcBorders>
              <w:bottom w:val="single" w:sz="4" w:space="0" w:color="999999" w:themeColor="text1" w:themeTint="66"/>
            </w:tcBorders>
          </w:tcPr>
          <w:p w:rsidR="003A36A7" w:rsidRDefault="00343855" w:rsidP="00A83A4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18649A">
              <w:t xml:space="preserve"> m</w:t>
            </w:r>
          </w:p>
        </w:tc>
        <w:tc>
          <w:tcPr>
            <w:tcW w:w="3284" w:type="dxa"/>
            <w:tcBorders>
              <w:bottom w:val="single" w:sz="4" w:space="0" w:color="999999" w:themeColor="text1" w:themeTint="66"/>
              <w:right w:val="single" w:sz="4" w:space="0" w:color="auto"/>
            </w:tcBorders>
          </w:tcPr>
          <w:p w:rsidR="003A36A7" w:rsidRDefault="0018649A" w:rsidP="00A83A4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m</w:t>
            </w:r>
          </w:p>
        </w:tc>
      </w:tr>
      <w:tr w:rsidR="003A36A7" w:rsidTr="003E2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left w:val="single" w:sz="4" w:space="0" w:color="auto"/>
            </w:tcBorders>
          </w:tcPr>
          <w:p w:rsidR="003A36A7" w:rsidRDefault="0018649A" w:rsidP="00A83A45">
            <w:pPr>
              <w:spacing w:after="0"/>
              <w:jc w:val="both"/>
            </w:pPr>
            <w:r>
              <w:t>Accuracy</w:t>
            </w:r>
          </w:p>
        </w:tc>
        <w:tc>
          <w:tcPr>
            <w:tcW w:w="3283" w:type="dxa"/>
          </w:tcPr>
          <w:p w:rsidR="003A36A7" w:rsidRDefault="0018649A" w:rsidP="00A83A4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dBZ</w:t>
            </w:r>
            <w:proofErr w:type="spellEnd"/>
            <w:r>
              <w:t xml:space="preserve">, </w:t>
            </w:r>
            <w:r w:rsidR="00F82898">
              <w:t>0</w:t>
            </w:r>
            <w:r>
              <w:t>.</w:t>
            </w:r>
            <w:r w:rsidR="00F82898">
              <w:t>2</w:t>
            </w:r>
            <w:r>
              <w:t xml:space="preserve"> m/s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3A36A7" w:rsidRDefault="0018649A" w:rsidP="00A83A4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dBZ</w:t>
            </w:r>
            <w:proofErr w:type="spellEnd"/>
            <w:r>
              <w:t>, 0.05 m/s</w:t>
            </w:r>
          </w:p>
        </w:tc>
      </w:tr>
      <w:tr w:rsidR="003E2CF2" w:rsidTr="003A3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left w:val="single" w:sz="4" w:space="0" w:color="auto"/>
              <w:bottom w:val="single" w:sz="4" w:space="0" w:color="auto"/>
            </w:tcBorders>
          </w:tcPr>
          <w:p w:rsidR="003E2CF2" w:rsidRDefault="003E2CF2" w:rsidP="00A83A45">
            <w:pPr>
              <w:spacing w:after="0"/>
              <w:jc w:val="both"/>
            </w:pPr>
            <w:r>
              <w:t>Sensitivity dBZ@</w:t>
            </w:r>
            <w:r w:rsidR="00706046">
              <w:t>3.5 km FL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3E2CF2" w:rsidRDefault="003E2CF2" w:rsidP="00A83A4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</w:t>
            </w:r>
          </w:p>
        </w:tc>
        <w:tc>
          <w:tcPr>
            <w:tcW w:w="3284" w:type="dxa"/>
            <w:tcBorders>
              <w:bottom w:val="single" w:sz="4" w:space="0" w:color="auto"/>
              <w:right w:val="single" w:sz="4" w:space="0" w:color="auto"/>
            </w:tcBorders>
          </w:tcPr>
          <w:p w:rsidR="003E2CF2" w:rsidRDefault="003E2CF2" w:rsidP="00A83A4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-17.5</w:t>
            </w:r>
          </w:p>
        </w:tc>
      </w:tr>
    </w:tbl>
    <w:p w:rsidR="003A36A7" w:rsidRDefault="003A36A7" w:rsidP="00814881">
      <w:pPr>
        <w:spacing w:after="0" w:line="252" w:lineRule="auto"/>
        <w:ind w:left="106" w:right="48"/>
        <w:jc w:val="both"/>
        <w:rPr>
          <w:rFonts w:ascii="Times New Roman" w:eastAsia="Times New Roman" w:hAnsi="Times New Roman" w:cs="Times New Roman"/>
          <w:spacing w:val="8"/>
          <w:sz w:val="21"/>
          <w:szCs w:val="21"/>
        </w:rPr>
      </w:pPr>
    </w:p>
    <w:p w:rsidR="00206513" w:rsidRDefault="00206513" w:rsidP="00814881">
      <w:pPr>
        <w:spacing w:after="0" w:line="252" w:lineRule="auto"/>
        <w:ind w:left="106" w:right="48"/>
        <w:jc w:val="both"/>
        <w:rPr>
          <w:rFonts w:ascii="Times New Roman" w:eastAsia="Times New Roman" w:hAnsi="Times New Roman" w:cs="Times New Roman"/>
          <w:spacing w:val="8"/>
          <w:sz w:val="21"/>
          <w:szCs w:val="21"/>
        </w:rPr>
      </w:pPr>
    </w:p>
    <w:p w:rsidR="00086FEC" w:rsidRDefault="00C4575A" w:rsidP="00086FEC">
      <w:pPr>
        <w:spacing w:after="0" w:line="252" w:lineRule="auto"/>
        <w:ind w:left="106" w:right="48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It is assumed that the observation program will be in the Atlantic/Caribbean/Gulf of Mexico theatre of operations.  </w:t>
      </w:r>
      <w:r w:rsidR="00206513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The observations of interest here require operation </w:t>
      </w:r>
      <w:r w:rsidR="00206513" w:rsidRPr="00B01EE1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>outside of significant precipitation</w:t>
      </w:r>
      <w:r w:rsidR="00206513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. Rain in the line of sight below the aircraft </w:t>
      </w:r>
      <w:r w:rsidR="00B01EE1">
        <w:rPr>
          <w:rFonts w:ascii="Times New Roman" w:eastAsia="Times New Roman" w:hAnsi="Times New Roman" w:cs="Times New Roman"/>
          <w:spacing w:val="8"/>
          <w:sz w:val="21"/>
          <w:szCs w:val="21"/>
        </w:rPr>
        <w:t>will be indistinguishable from sea</w:t>
      </w:r>
      <w:r w:rsidR="008F6B4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B01EE1">
        <w:rPr>
          <w:rFonts w:ascii="Times New Roman" w:eastAsia="Times New Roman" w:hAnsi="Times New Roman" w:cs="Times New Roman"/>
          <w:spacing w:val="8"/>
          <w:sz w:val="21"/>
          <w:szCs w:val="21"/>
        </w:rPr>
        <w:t>spray and will mask the profiles of sea spray that is required to estimate the surface source.  Clouds will probably not be a problem, but cloud-free locations are much less likely to have precipitation contamination.  So, we request the sea spray module be flown between rain</w:t>
      </w:r>
      <w:r w:rsidR="008F6B4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B01EE1">
        <w:rPr>
          <w:rFonts w:ascii="Times New Roman" w:eastAsia="Times New Roman" w:hAnsi="Times New Roman" w:cs="Times New Roman"/>
          <w:spacing w:val="8"/>
          <w:sz w:val="21"/>
          <w:szCs w:val="21"/>
        </w:rPr>
        <w:t>bands (similar to the entrainment module of 2012).  It is not necessary to fly in a radial direction; azimuthal direction is acceptable.</w:t>
      </w:r>
      <w:r w:rsidR="00086FEC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086FEC">
        <w:rPr>
          <w:rFonts w:ascii="Times New Roman" w:hAnsi="Times New Roman" w:cs="Times New Roman"/>
          <w:bCs/>
        </w:rPr>
        <w:t>Interpretation of the radar profiles will require additional information: 10-m wind speed (SFMR) and high-speed navigational information (IMU) are required.  Profiles of wind speed, temperature and humidity (</w:t>
      </w:r>
      <w:proofErr w:type="spellStart"/>
      <w:r w:rsidR="00086FEC">
        <w:rPr>
          <w:rFonts w:ascii="Times New Roman" w:hAnsi="Times New Roman" w:cs="Times New Roman"/>
          <w:bCs/>
        </w:rPr>
        <w:t>dropsondes</w:t>
      </w:r>
      <w:proofErr w:type="spellEnd"/>
      <w:r w:rsidR="00086FEC">
        <w:rPr>
          <w:rFonts w:ascii="Times New Roman" w:hAnsi="Times New Roman" w:cs="Times New Roman"/>
          <w:bCs/>
        </w:rPr>
        <w:t>) will be useful.  Doppler lidar would be very useful.</w:t>
      </w:r>
    </w:p>
    <w:p w:rsidR="00086FEC" w:rsidRDefault="00086FEC" w:rsidP="00086FEC">
      <w:pPr>
        <w:spacing w:after="0" w:line="240" w:lineRule="auto"/>
        <w:rPr>
          <w:rFonts w:ascii="Times New Roman" w:hAnsi="Times New Roman" w:cs="Times New Roman"/>
          <w:bCs/>
        </w:rPr>
      </w:pPr>
    </w:p>
    <w:p w:rsidR="00086FEC" w:rsidRDefault="00086FEC" w:rsidP="00086FE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REFERENCES</w:t>
      </w:r>
    </w:p>
    <w:p w:rsidR="00086FEC" w:rsidRDefault="00086FEC" w:rsidP="00086FEC">
      <w:pPr>
        <w:spacing w:after="0" w:line="240" w:lineRule="auto"/>
        <w:rPr>
          <w:rFonts w:ascii="Times New Roman" w:hAnsi="Times New Roman" w:cs="Times New Roman"/>
          <w:bCs/>
        </w:rPr>
      </w:pPr>
    </w:p>
    <w:p w:rsidR="00086FEC" w:rsidRPr="00206513" w:rsidRDefault="00086FEC" w:rsidP="00086FEC">
      <w:pPr>
        <w:spacing w:after="0" w:line="200" w:lineRule="exact"/>
        <w:rPr>
          <w:rFonts w:ascii="Times New Roman" w:hAnsi="Times New Roman" w:cs="Times New Roman"/>
          <w:bCs/>
        </w:rPr>
      </w:pPr>
      <w:proofErr w:type="spellStart"/>
      <w:r w:rsidRPr="00206513">
        <w:rPr>
          <w:rFonts w:ascii="Times New Roman" w:hAnsi="Times New Roman" w:cs="Times New Roman"/>
          <w:bCs/>
        </w:rPr>
        <w:t>Bao</w:t>
      </w:r>
      <w:proofErr w:type="spellEnd"/>
      <w:r w:rsidRPr="00206513">
        <w:rPr>
          <w:rFonts w:ascii="Times New Roman" w:hAnsi="Times New Roman" w:cs="Times New Roman"/>
          <w:bCs/>
        </w:rPr>
        <w:t xml:space="preserve">, J.-W., C. W. Fairall, S. A. Michelson, L. </w:t>
      </w:r>
      <w:proofErr w:type="spellStart"/>
      <w:r w:rsidRPr="00206513">
        <w:rPr>
          <w:rFonts w:ascii="Times New Roman" w:hAnsi="Times New Roman" w:cs="Times New Roman"/>
          <w:bCs/>
        </w:rPr>
        <w:t>Bianco</w:t>
      </w:r>
      <w:proofErr w:type="spellEnd"/>
      <w:r w:rsidRPr="00206513">
        <w:rPr>
          <w:rFonts w:ascii="Times New Roman" w:hAnsi="Times New Roman" w:cs="Times New Roman"/>
          <w:bCs/>
        </w:rPr>
        <w:t xml:space="preserve">, 2011: Parameterizations of sea-spray impact on the air-sea momentum and heat fluxes.  </w:t>
      </w:r>
      <w:r w:rsidRPr="00206513">
        <w:rPr>
          <w:rFonts w:ascii="Times New Roman" w:hAnsi="Times New Roman" w:cs="Times New Roman"/>
          <w:bCs/>
          <w:i/>
        </w:rPr>
        <w:t xml:space="preserve">Mon. </w:t>
      </w:r>
      <w:proofErr w:type="spellStart"/>
      <w:r w:rsidRPr="00206513">
        <w:rPr>
          <w:rFonts w:ascii="Times New Roman" w:hAnsi="Times New Roman" w:cs="Times New Roman"/>
          <w:bCs/>
          <w:i/>
        </w:rPr>
        <w:t>Wea</w:t>
      </w:r>
      <w:proofErr w:type="spellEnd"/>
      <w:r w:rsidRPr="00206513">
        <w:rPr>
          <w:rFonts w:ascii="Times New Roman" w:hAnsi="Times New Roman" w:cs="Times New Roman"/>
          <w:bCs/>
          <w:i/>
        </w:rPr>
        <w:t>. Rev</w:t>
      </w:r>
      <w:r w:rsidRPr="00206513">
        <w:rPr>
          <w:rFonts w:ascii="Times New Roman" w:hAnsi="Times New Roman" w:cs="Times New Roman"/>
          <w:bCs/>
        </w:rPr>
        <w:t xml:space="preserve">., </w:t>
      </w:r>
      <w:r w:rsidRPr="00206513">
        <w:rPr>
          <w:rFonts w:ascii="Times New Roman" w:hAnsi="Times New Roman" w:cs="Times New Roman"/>
          <w:b/>
          <w:bCs/>
        </w:rPr>
        <w:t>139</w:t>
      </w:r>
      <w:r w:rsidRPr="00206513">
        <w:rPr>
          <w:rFonts w:ascii="Times New Roman" w:hAnsi="Times New Roman" w:cs="Times New Roman"/>
          <w:bCs/>
        </w:rPr>
        <w:t xml:space="preserve">, 3781–3797, </w:t>
      </w:r>
      <w:proofErr w:type="spellStart"/>
      <w:r w:rsidRPr="00206513">
        <w:rPr>
          <w:rFonts w:ascii="Times New Roman" w:hAnsi="Times New Roman" w:cs="Times New Roman"/>
          <w:bCs/>
        </w:rPr>
        <w:t>doi</w:t>
      </w:r>
      <w:proofErr w:type="spellEnd"/>
      <w:r w:rsidRPr="00206513">
        <w:rPr>
          <w:rFonts w:ascii="Times New Roman" w:hAnsi="Times New Roman" w:cs="Times New Roman"/>
          <w:bCs/>
        </w:rPr>
        <w:t xml:space="preserve">: </w:t>
      </w:r>
      <w:hyperlink r:id="rId7" w:history="1">
        <w:r w:rsidRPr="00206513">
          <w:rPr>
            <w:rStyle w:val="Hyperlink"/>
            <w:rFonts w:ascii="Times New Roman" w:hAnsi="Times New Roman" w:cs="Times New Roman"/>
            <w:bCs/>
          </w:rPr>
          <w:t>http://dx.doi.org/10.1175/MWR-D-11-00007.1</w:t>
        </w:r>
      </w:hyperlink>
      <w:r w:rsidRPr="00206513">
        <w:rPr>
          <w:rFonts w:ascii="Times New Roman" w:hAnsi="Times New Roman" w:cs="Times New Roman"/>
          <w:bCs/>
        </w:rPr>
        <w:t xml:space="preserve"> .</w:t>
      </w:r>
    </w:p>
    <w:p w:rsidR="00086FEC" w:rsidRPr="00206513" w:rsidRDefault="00086FEC" w:rsidP="00086FEC">
      <w:pPr>
        <w:spacing w:after="0" w:line="200" w:lineRule="exact"/>
        <w:rPr>
          <w:rFonts w:ascii="Times New Roman" w:hAnsi="Times New Roman" w:cs="Times New Roman"/>
          <w:bCs/>
        </w:rPr>
      </w:pPr>
    </w:p>
    <w:p w:rsidR="00086FEC" w:rsidRPr="00206513" w:rsidRDefault="00086FEC" w:rsidP="00086FEC">
      <w:pPr>
        <w:spacing w:after="0" w:line="200" w:lineRule="exact"/>
        <w:rPr>
          <w:rFonts w:ascii="Times New Roman" w:hAnsi="Times New Roman" w:cs="Times New Roman"/>
          <w:bCs/>
        </w:rPr>
      </w:pPr>
      <w:proofErr w:type="spellStart"/>
      <w:r w:rsidRPr="00206513">
        <w:rPr>
          <w:rFonts w:ascii="Times New Roman" w:hAnsi="Times New Roman" w:cs="Times New Roman"/>
          <w:bCs/>
        </w:rPr>
        <w:t>Bianco</w:t>
      </w:r>
      <w:proofErr w:type="spellEnd"/>
      <w:r w:rsidRPr="00206513">
        <w:rPr>
          <w:rFonts w:ascii="Times New Roman" w:hAnsi="Times New Roman" w:cs="Times New Roman"/>
          <w:bCs/>
        </w:rPr>
        <w:t xml:space="preserve">, L., J.-W. </w:t>
      </w:r>
      <w:proofErr w:type="spellStart"/>
      <w:r w:rsidRPr="00206513">
        <w:rPr>
          <w:rFonts w:ascii="Times New Roman" w:hAnsi="Times New Roman" w:cs="Times New Roman"/>
          <w:bCs/>
        </w:rPr>
        <w:t>Bao</w:t>
      </w:r>
      <w:proofErr w:type="spellEnd"/>
      <w:r w:rsidRPr="00206513">
        <w:rPr>
          <w:rFonts w:ascii="Times New Roman" w:hAnsi="Times New Roman" w:cs="Times New Roman"/>
          <w:bCs/>
        </w:rPr>
        <w:t xml:space="preserve">, C. W. Fairall, and S. A. Michelson, 2011: Impact of sea spray on the surface boundary layer. </w:t>
      </w:r>
      <w:r w:rsidRPr="00206513">
        <w:rPr>
          <w:rFonts w:ascii="Times New Roman" w:hAnsi="Times New Roman" w:cs="Times New Roman"/>
          <w:bCs/>
          <w:i/>
        </w:rPr>
        <w:t xml:space="preserve"> Bound.-Layer Meteorol</w:t>
      </w:r>
      <w:r w:rsidRPr="00206513">
        <w:rPr>
          <w:rFonts w:ascii="Times New Roman" w:hAnsi="Times New Roman" w:cs="Times New Roman"/>
          <w:bCs/>
        </w:rPr>
        <w:t>.,</w:t>
      </w:r>
      <w:r w:rsidRPr="00206513">
        <w:rPr>
          <w:rFonts w:ascii="Times New Roman" w:hAnsi="Times New Roman" w:cs="Times New Roman"/>
          <w:b/>
          <w:bCs/>
        </w:rPr>
        <w:t>140</w:t>
      </w:r>
      <w:r w:rsidRPr="00206513">
        <w:rPr>
          <w:rFonts w:ascii="Times New Roman" w:hAnsi="Times New Roman" w:cs="Times New Roman"/>
          <w:bCs/>
        </w:rPr>
        <w:t xml:space="preserve"> , DOI 10.1007/s10546-011-9617-1.</w:t>
      </w:r>
    </w:p>
    <w:p w:rsidR="00086FEC" w:rsidRPr="00206513" w:rsidRDefault="00086FEC" w:rsidP="00086FEC">
      <w:pPr>
        <w:spacing w:after="0" w:line="200" w:lineRule="exact"/>
        <w:rPr>
          <w:rFonts w:ascii="Times New Roman" w:hAnsi="Times New Roman" w:cs="Times New Roman"/>
          <w:bCs/>
        </w:rPr>
      </w:pPr>
    </w:p>
    <w:p w:rsidR="00207735" w:rsidRPr="00207735" w:rsidRDefault="00207735" w:rsidP="00207735">
      <w:pPr>
        <w:spacing w:after="0" w:line="200" w:lineRule="exact"/>
        <w:rPr>
          <w:rFonts w:ascii="Times New Roman" w:hAnsi="Times New Roman" w:cs="Times New Roman"/>
        </w:rPr>
      </w:pPr>
      <w:bookmarkStart w:id="1" w:name="OLE_LINK1"/>
      <w:r w:rsidRPr="00207735">
        <w:rPr>
          <w:rFonts w:ascii="Times New Roman" w:hAnsi="Times New Roman" w:cs="Times New Roman"/>
        </w:rPr>
        <w:t xml:space="preserve">Esteban-Fernandez D, </w:t>
      </w:r>
      <w:proofErr w:type="spellStart"/>
      <w:r w:rsidRPr="00207735">
        <w:rPr>
          <w:rFonts w:ascii="Times New Roman" w:hAnsi="Times New Roman" w:cs="Times New Roman"/>
        </w:rPr>
        <w:t>Durden</w:t>
      </w:r>
      <w:proofErr w:type="spellEnd"/>
      <w:r w:rsidRPr="00207735">
        <w:rPr>
          <w:rFonts w:ascii="Times New Roman" w:hAnsi="Times New Roman" w:cs="Times New Roman"/>
        </w:rPr>
        <w:t xml:space="preserve"> SL, </w:t>
      </w:r>
      <w:proofErr w:type="spellStart"/>
      <w:r w:rsidRPr="00207735">
        <w:rPr>
          <w:rFonts w:ascii="Times New Roman" w:hAnsi="Times New Roman" w:cs="Times New Roman"/>
        </w:rPr>
        <w:t>Chaubell</w:t>
      </w:r>
      <w:proofErr w:type="spellEnd"/>
      <w:r w:rsidRPr="00207735">
        <w:rPr>
          <w:rFonts w:ascii="Times New Roman" w:hAnsi="Times New Roman" w:cs="Times New Roman"/>
        </w:rPr>
        <w:t xml:space="preserve"> J, Cooper KB</w:t>
      </w:r>
      <w:r>
        <w:rPr>
          <w:rFonts w:ascii="Times New Roman" w:hAnsi="Times New Roman" w:cs="Times New Roman"/>
        </w:rPr>
        <w:t xml:space="preserve">, 2010: </w:t>
      </w:r>
      <w:r w:rsidRPr="00207735">
        <w:rPr>
          <w:rFonts w:ascii="Times New Roman" w:hAnsi="Times New Roman" w:cs="Times New Roman"/>
        </w:rPr>
        <w:t>Design considerations for a dual-frequency</w:t>
      </w:r>
    </w:p>
    <w:p w:rsidR="00207735" w:rsidRPr="00207735" w:rsidRDefault="00207735" w:rsidP="00207735">
      <w:pPr>
        <w:spacing w:after="0" w:line="200" w:lineRule="exact"/>
        <w:rPr>
          <w:rFonts w:ascii="Times New Roman" w:hAnsi="Times New Roman" w:cs="Times New Roman"/>
        </w:rPr>
      </w:pPr>
      <w:r w:rsidRPr="00207735">
        <w:rPr>
          <w:rFonts w:ascii="Times New Roman" w:hAnsi="Times New Roman" w:cs="Times New Roman"/>
        </w:rPr>
        <w:t>radar for sea spray measurement in hurricanes. In: Geoscience and Remote Sensing Symposium</w:t>
      </w:r>
    </w:p>
    <w:p w:rsidR="00207735" w:rsidRPr="00207735" w:rsidRDefault="00207735" w:rsidP="00207735">
      <w:pPr>
        <w:spacing w:after="0" w:line="200" w:lineRule="exact"/>
        <w:rPr>
          <w:rFonts w:ascii="Times New Roman" w:hAnsi="Times New Roman" w:cs="Times New Roman"/>
        </w:rPr>
      </w:pPr>
      <w:r w:rsidRPr="00207735">
        <w:rPr>
          <w:rFonts w:ascii="Times New Roman" w:hAnsi="Times New Roman" w:cs="Times New Roman"/>
        </w:rPr>
        <w:t xml:space="preserve">(IGARSS), 2010 IEEE International, </w:t>
      </w:r>
      <w:proofErr w:type="spellStart"/>
      <w:r w:rsidRPr="00207735">
        <w:rPr>
          <w:rFonts w:ascii="Times New Roman" w:hAnsi="Times New Roman" w:cs="Times New Roman"/>
        </w:rPr>
        <w:t>pp</w:t>
      </w:r>
      <w:proofErr w:type="spellEnd"/>
      <w:r w:rsidRPr="00207735">
        <w:rPr>
          <w:rFonts w:ascii="Times New Roman" w:hAnsi="Times New Roman" w:cs="Times New Roman"/>
        </w:rPr>
        <w:t xml:space="preserve"> 2896–2899, 25–30 July 2010. doi:10.1109/IGARSS.2010.</w:t>
      </w:r>
    </w:p>
    <w:p w:rsidR="00207735" w:rsidRDefault="00207735" w:rsidP="00207735">
      <w:pPr>
        <w:spacing w:after="0" w:line="200" w:lineRule="exact"/>
        <w:rPr>
          <w:rFonts w:ascii="Times New Roman" w:hAnsi="Times New Roman" w:cs="Times New Roman"/>
        </w:rPr>
      </w:pPr>
      <w:r w:rsidRPr="00207735">
        <w:rPr>
          <w:rFonts w:ascii="Times New Roman" w:hAnsi="Times New Roman" w:cs="Times New Roman"/>
        </w:rPr>
        <w:t>5653198</w:t>
      </w:r>
    </w:p>
    <w:bookmarkEnd w:id="1"/>
    <w:p w:rsidR="00207735" w:rsidRDefault="00207735" w:rsidP="00086FEC">
      <w:pPr>
        <w:spacing w:after="0" w:line="200" w:lineRule="exact"/>
        <w:rPr>
          <w:rFonts w:ascii="Times New Roman" w:hAnsi="Times New Roman" w:cs="Times New Roman"/>
        </w:rPr>
      </w:pPr>
    </w:p>
    <w:p w:rsidR="00086FEC" w:rsidRPr="00206513" w:rsidRDefault="00086FEC" w:rsidP="00086FEC">
      <w:pPr>
        <w:spacing w:after="0" w:line="200" w:lineRule="exact"/>
        <w:rPr>
          <w:rFonts w:ascii="Times New Roman" w:hAnsi="Times New Roman" w:cs="Times New Roman"/>
        </w:rPr>
      </w:pPr>
      <w:r w:rsidRPr="00206513">
        <w:rPr>
          <w:rFonts w:ascii="Times New Roman" w:hAnsi="Times New Roman" w:cs="Times New Roman"/>
        </w:rPr>
        <w:t xml:space="preserve">Fairall, C. W., M. Banner, W. </w:t>
      </w:r>
      <w:proofErr w:type="spellStart"/>
      <w:r w:rsidRPr="00206513">
        <w:rPr>
          <w:rFonts w:ascii="Times New Roman" w:hAnsi="Times New Roman" w:cs="Times New Roman"/>
        </w:rPr>
        <w:t>Peirson</w:t>
      </w:r>
      <w:proofErr w:type="spellEnd"/>
      <w:r w:rsidRPr="00206513">
        <w:rPr>
          <w:rFonts w:ascii="Times New Roman" w:hAnsi="Times New Roman" w:cs="Times New Roman"/>
        </w:rPr>
        <w:t xml:space="preserve">, R. P. Morison, and W. Asher, 2009: Investigation of the physical scaling of sea spray spume droplet production.  </w:t>
      </w:r>
      <w:r w:rsidRPr="00206513">
        <w:rPr>
          <w:rFonts w:ascii="Times New Roman" w:hAnsi="Times New Roman" w:cs="Times New Roman"/>
          <w:i/>
        </w:rPr>
        <w:t xml:space="preserve">J. </w:t>
      </w:r>
      <w:proofErr w:type="spellStart"/>
      <w:r w:rsidRPr="00206513">
        <w:rPr>
          <w:rFonts w:ascii="Times New Roman" w:hAnsi="Times New Roman" w:cs="Times New Roman"/>
          <w:i/>
        </w:rPr>
        <w:t>Geophys</w:t>
      </w:r>
      <w:proofErr w:type="spellEnd"/>
      <w:r w:rsidRPr="00206513">
        <w:rPr>
          <w:rFonts w:ascii="Times New Roman" w:hAnsi="Times New Roman" w:cs="Times New Roman"/>
          <w:i/>
        </w:rPr>
        <w:t>., Res</w:t>
      </w:r>
      <w:r w:rsidRPr="00206513">
        <w:rPr>
          <w:rFonts w:ascii="Times New Roman" w:hAnsi="Times New Roman" w:cs="Times New Roman"/>
        </w:rPr>
        <w:t xml:space="preserve">., </w:t>
      </w:r>
      <w:r w:rsidRPr="00206513">
        <w:rPr>
          <w:rFonts w:ascii="Times New Roman" w:hAnsi="Times New Roman" w:cs="Times New Roman"/>
          <w:b/>
        </w:rPr>
        <w:t>114</w:t>
      </w:r>
      <w:r w:rsidRPr="00206513">
        <w:rPr>
          <w:rFonts w:ascii="Times New Roman" w:hAnsi="Times New Roman" w:cs="Times New Roman"/>
        </w:rPr>
        <w:t>, C10001, doi:10.1029/2008JC004918.</w:t>
      </w:r>
    </w:p>
    <w:p w:rsidR="00086FEC" w:rsidRPr="00206513" w:rsidRDefault="00086FEC" w:rsidP="00086FEC">
      <w:pPr>
        <w:spacing w:after="0" w:line="200" w:lineRule="exact"/>
        <w:rPr>
          <w:rFonts w:ascii="Times New Roman" w:hAnsi="Times New Roman" w:cs="Times New Roman"/>
        </w:rPr>
      </w:pPr>
    </w:p>
    <w:p w:rsidR="00086FEC" w:rsidRPr="00206513" w:rsidRDefault="00086FEC" w:rsidP="00086FEC">
      <w:pPr>
        <w:spacing w:after="0" w:line="200" w:lineRule="exact"/>
        <w:rPr>
          <w:rFonts w:ascii="Times New Roman" w:hAnsi="Times New Roman" w:cs="Times New Roman"/>
          <w:bCs/>
        </w:rPr>
      </w:pPr>
      <w:r w:rsidRPr="00206513">
        <w:rPr>
          <w:rFonts w:ascii="Times New Roman" w:hAnsi="Times New Roman" w:cs="Times New Roman"/>
          <w:bCs/>
        </w:rPr>
        <w:t xml:space="preserve">Fairall, C.W., C.J. Zappa, M.L. Banner, R.P. Morison, S. </w:t>
      </w:r>
      <w:proofErr w:type="spellStart"/>
      <w:r w:rsidRPr="00206513">
        <w:rPr>
          <w:rFonts w:ascii="Times New Roman" w:hAnsi="Times New Roman" w:cs="Times New Roman"/>
          <w:bCs/>
        </w:rPr>
        <w:t>Brumer</w:t>
      </w:r>
      <w:proofErr w:type="spellEnd"/>
      <w:r w:rsidRPr="00206513">
        <w:rPr>
          <w:rFonts w:ascii="Times New Roman" w:hAnsi="Times New Roman" w:cs="Times New Roman"/>
          <w:bCs/>
        </w:rPr>
        <w:t xml:space="preserve">, X. Yan, and W.L. </w:t>
      </w:r>
      <w:proofErr w:type="spellStart"/>
      <w:r w:rsidRPr="00206513">
        <w:rPr>
          <w:rFonts w:ascii="Times New Roman" w:hAnsi="Times New Roman" w:cs="Times New Roman"/>
          <w:bCs/>
        </w:rPr>
        <w:t>Peirson</w:t>
      </w:r>
      <w:proofErr w:type="spellEnd"/>
      <w:r w:rsidRPr="00206513">
        <w:rPr>
          <w:rFonts w:ascii="Times New Roman" w:hAnsi="Times New Roman" w:cs="Times New Roman"/>
          <w:bCs/>
        </w:rPr>
        <w:t>, 2012: A Laboratory Study of Sea Spray from Breaking Waves: Part I - Profiles of Droplet Microphysical Properties.  Paper 5.1  Proceed. American Meteorological Society, 18th Conference on the Air-Sea Interaction, 9-13 July, 2012, Boston, MA.</w:t>
      </w:r>
    </w:p>
    <w:p w:rsidR="00086FEC" w:rsidRPr="00206513" w:rsidRDefault="00086FEC" w:rsidP="00086FEC">
      <w:pPr>
        <w:spacing w:after="0" w:line="200" w:lineRule="exact"/>
        <w:rPr>
          <w:rFonts w:ascii="Times New Roman" w:hAnsi="Times New Roman" w:cs="Times New Roman"/>
          <w:bCs/>
        </w:rPr>
      </w:pPr>
    </w:p>
    <w:p w:rsidR="00086FEC" w:rsidRPr="00206513" w:rsidRDefault="00086FEC" w:rsidP="00086FEC">
      <w:pPr>
        <w:spacing w:after="0" w:line="200" w:lineRule="exact"/>
        <w:rPr>
          <w:rFonts w:ascii="Times New Roman" w:hAnsi="Times New Roman" w:cs="Times New Roman"/>
          <w:bCs/>
        </w:rPr>
      </w:pPr>
      <w:r w:rsidRPr="00206513">
        <w:rPr>
          <w:rFonts w:ascii="Times New Roman" w:hAnsi="Times New Roman" w:cs="Times New Roman"/>
          <w:bCs/>
        </w:rPr>
        <w:t xml:space="preserve">Moran, K.,  S. </w:t>
      </w:r>
      <w:proofErr w:type="spellStart"/>
      <w:r w:rsidRPr="00206513">
        <w:rPr>
          <w:rFonts w:ascii="Times New Roman" w:hAnsi="Times New Roman" w:cs="Times New Roman"/>
          <w:bCs/>
        </w:rPr>
        <w:t>Pezoa</w:t>
      </w:r>
      <w:proofErr w:type="spellEnd"/>
      <w:r w:rsidRPr="00206513">
        <w:rPr>
          <w:rFonts w:ascii="Times New Roman" w:hAnsi="Times New Roman" w:cs="Times New Roman"/>
          <w:bCs/>
        </w:rPr>
        <w:t xml:space="preserve">, C. Fairall, T. Ayers, A. Brewer, C. Williams, and S. de </w:t>
      </w:r>
      <w:proofErr w:type="spellStart"/>
      <w:r w:rsidRPr="00206513">
        <w:rPr>
          <w:rFonts w:ascii="Times New Roman" w:hAnsi="Times New Roman" w:cs="Times New Roman"/>
          <w:bCs/>
        </w:rPr>
        <w:t>Szoeke</w:t>
      </w:r>
      <w:proofErr w:type="spellEnd"/>
      <w:r w:rsidRPr="00206513">
        <w:rPr>
          <w:rFonts w:ascii="Times New Roman" w:hAnsi="Times New Roman" w:cs="Times New Roman"/>
          <w:bCs/>
          <w:vertAlign w:val="superscript"/>
        </w:rPr>
        <w:t xml:space="preserve">, </w:t>
      </w:r>
      <w:r w:rsidRPr="00206513">
        <w:rPr>
          <w:rFonts w:ascii="Times New Roman" w:hAnsi="Times New Roman" w:cs="Times New Roman"/>
          <w:bCs/>
        </w:rPr>
        <w:t xml:space="preserve">2012: A Motion Stabilized W-band Radar for Shipboard Cloud Observations and Airborne Studies of Sea Spray.  </w:t>
      </w:r>
      <w:r w:rsidRPr="00206513">
        <w:rPr>
          <w:rFonts w:ascii="Times New Roman" w:hAnsi="Times New Roman" w:cs="Times New Roman"/>
          <w:bCs/>
          <w:i/>
        </w:rPr>
        <w:t>Bound.-Layer Meteor</w:t>
      </w:r>
      <w:r w:rsidRPr="00206513">
        <w:rPr>
          <w:rFonts w:ascii="Times New Roman" w:hAnsi="Times New Roman" w:cs="Times New Roman"/>
          <w:bCs/>
        </w:rPr>
        <w:t xml:space="preserve">., </w:t>
      </w:r>
      <w:r w:rsidRPr="00206513">
        <w:rPr>
          <w:rFonts w:ascii="Times New Roman" w:hAnsi="Times New Roman" w:cs="Times New Roman"/>
          <w:b/>
          <w:bCs/>
        </w:rPr>
        <w:t>141</w:t>
      </w:r>
      <w:r w:rsidRPr="00206513">
        <w:rPr>
          <w:rFonts w:ascii="Times New Roman" w:hAnsi="Times New Roman" w:cs="Times New Roman"/>
          <w:bCs/>
        </w:rPr>
        <w:t>, 3-24, DOI 10.1007/s10546-011-9674-5.</w:t>
      </w:r>
    </w:p>
    <w:p w:rsidR="00086FEC" w:rsidRPr="00206513" w:rsidRDefault="00086FEC" w:rsidP="00086FEC">
      <w:pPr>
        <w:spacing w:after="0" w:line="200" w:lineRule="exact"/>
        <w:rPr>
          <w:rFonts w:ascii="Times New Roman" w:hAnsi="Times New Roman" w:cs="Times New Roman"/>
        </w:rPr>
      </w:pPr>
    </w:p>
    <w:p w:rsidR="00086FEC" w:rsidRPr="00206513" w:rsidRDefault="00086FEC" w:rsidP="00086FEC">
      <w:pPr>
        <w:spacing w:after="0" w:line="200" w:lineRule="exact"/>
        <w:rPr>
          <w:rFonts w:ascii="Times New Roman" w:hAnsi="Times New Roman" w:cs="Times New Roman"/>
        </w:rPr>
      </w:pPr>
    </w:p>
    <w:p w:rsidR="00086FEC" w:rsidRDefault="00086FEC" w:rsidP="00086FEC">
      <w:pPr>
        <w:spacing w:after="0" w:line="200" w:lineRule="exact"/>
        <w:rPr>
          <w:sz w:val="20"/>
          <w:szCs w:val="20"/>
        </w:rPr>
      </w:pPr>
    </w:p>
    <w:p w:rsidR="00086FEC" w:rsidRDefault="00086FEC" w:rsidP="00814881">
      <w:pPr>
        <w:spacing w:after="0" w:line="252" w:lineRule="auto"/>
        <w:ind w:left="106" w:right="48"/>
        <w:jc w:val="both"/>
        <w:rPr>
          <w:rFonts w:ascii="Times New Roman" w:eastAsia="Times New Roman" w:hAnsi="Times New Roman" w:cs="Times New Roman"/>
          <w:spacing w:val="8"/>
          <w:sz w:val="21"/>
          <w:szCs w:val="21"/>
        </w:rPr>
      </w:pPr>
    </w:p>
    <w:p w:rsidR="00446643" w:rsidRPr="00206513" w:rsidRDefault="00446643" w:rsidP="00446643">
      <w:pPr>
        <w:spacing w:after="0" w:line="240" w:lineRule="auto"/>
        <w:ind w:left="1326" w:right="-20"/>
        <w:rPr>
          <w:rFonts w:ascii="Times New Roman" w:eastAsia="Times New Roman" w:hAnsi="Times New Roman" w:cs="Times New Roman"/>
          <w:sz w:val="20"/>
          <w:szCs w:val="20"/>
        </w:rPr>
      </w:pPr>
      <w:r w:rsidRPr="0020651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839821</wp:posOffset>
            </wp:positionH>
            <wp:positionV relativeFrom="paragraph">
              <wp:posOffset>68</wp:posOffset>
            </wp:positionV>
            <wp:extent cx="4241165" cy="3326765"/>
            <wp:effectExtent l="0" t="0" r="6985" b="6985"/>
            <wp:wrapTopAndBottom/>
            <wp:docPr id="3568" name="Picture 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643" w:rsidRPr="00206513" w:rsidRDefault="00446643" w:rsidP="00446643">
      <w:pPr>
        <w:spacing w:before="6" w:after="0" w:line="220" w:lineRule="exact"/>
      </w:pPr>
    </w:p>
    <w:p w:rsidR="00206513" w:rsidRPr="00206513" w:rsidRDefault="00446643" w:rsidP="00206513">
      <w:pPr>
        <w:spacing w:before="26" w:after="0" w:line="252" w:lineRule="auto"/>
        <w:ind w:left="102" w:right="914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gure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 rain-free region.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a sample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ack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, but a track along a fixed radial arc is acceptable too.</w:t>
      </w:r>
      <w:r w:rsidR="00206513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 This figure is borrowed from the </w:t>
      </w:r>
      <w:r w:rsidR="00206513" w:rsidRPr="00206513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Hurricane Boundary Layer Entrainment Flux Module</w:t>
      </w:r>
      <w:r w:rsidR="00206513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 </w:t>
      </w:r>
      <w:r w:rsidR="00B01EE1">
        <w:rPr>
          <w:rFonts w:ascii="Times New Roman" w:eastAsia="Times New Roman" w:hAnsi="Times New Roman" w:cs="Times New Roman"/>
          <w:bCs/>
          <w:w w:val="102"/>
          <w:sz w:val="21"/>
          <w:szCs w:val="21"/>
        </w:rPr>
        <w:t>from 2012.</w:t>
      </w:r>
    </w:p>
    <w:p w:rsidR="00730903" w:rsidRPr="00206513" w:rsidRDefault="00730903" w:rsidP="00730903">
      <w:pPr>
        <w:spacing w:after="0" w:line="200" w:lineRule="exact"/>
        <w:rPr>
          <w:rFonts w:ascii="Times New Roman" w:hAnsi="Times New Roman" w:cs="Times New Roman"/>
        </w:rPr>
      </w:pPr>
    </w:p>
    <w:p w:rsidR="00034A09" w:rsidRPr="00206513" w:rsidRDefault="00034A09" w:rsidP="00730903">
      <w:pPr>
        <w:spacing w:after="0" w:line="200" w:lineRule="exact"/>
        <w:rPr>
          <w:rFonts w:ascii="Times New Roman" w:hAnsi="Times New Roman" w:cs="Times New Roman"/>
        </w:rPr>
      </w:pPr>
    </w:p>
    <w:p w:rsidR="00034A09" w:rsidRDefault="00034A09" w:rsidP="00730903">
      <w:pPr>
        <w:spacing w:after="0" w:line="200" w:lineRule="exact"/>
        <w:rPr>
          <w:sz w:val="20"/>
          <w:szCs w:val="20"/>
        </w:rPr>
      </w:pPr>
    </w:p>
    <w:sectPr w:rsidR="00034A09" w:rsidSect="00034A09">
      <w:footerReference w:type="default" r:id="rId9"/>
      <w:type w:val="continuous"/>
      <w:pgSz w:w="12240" w:h="15840"/>
      <w:pgMar w:top="144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D6" w:rsidRDefault="006E63D6" w:rsidP="00F431C2">
      <w:pPr>
        <w:spacing w:after="0" w:line="240" w:lineRule="auto"/>
      </w:pPr>
      <w:r>
        <w:separator/>
      </w:r>
    </w:p>
  </w:endnote>
  <w:endnote w:type="continuationSeparator" w:id="0">
    <w:p w:rsidR="006E63D6" w:rsidRDefault="006E63D6" w:rsidP="00F4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426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1C2" w:rsidRDefault="00F43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31C2" w:rsidRDefault="00F43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D6" w:rsidRDefault="006E63D6" w:rsidP="00F431C2">
      <w:pPr>
        <w:spacing w:after="0" w:line="240" w:lineRule="auto"/>
      </w:pPr>
      <w:r>
        <w:separator/>
      </w:r>
    </w:p>
  </w:footnote>
  <w:footnote w:type="continuationSeparator" w:id="0">
    <w:p w:rsidR="006E63D6" w:rsidRDefault="006E63D6" w:rsidP="00F43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03"/>
    <w:rsid w:val="00034A09"/>
    <w:rsid w:val="0005286B"/>
    <w:rsid w:val="00086FEC"/>
    <w:rsid w:val="00106AAD"/>
    <w:rsid w:val="0018649A"/>
    <w:rsid w:val="00206513"/>
    <w:rsid w:val="00207735"/>
    <w:rsid w:val="00343855"/>
    <w:rsid w:val="003A36A7"/>
    <w:rsid w:val="003E2CF2"/>
    <w:rsid w:val="00446643"/>
    <w:rsid w:val="00541ACA"/>
    <w:rsid w:val="0054435A"/>
    <w:rsid w:val="006E63D6"/>
    <w:rsid w:val="00706046"/>
    <w:rsid w:val="00730903"/>
    <w:rsid w:val="007A5E26"/>
    <w:rsid w:val="007B621D"/>
    <w:rsid w:val="007F508C"/>
    <w:rsid w:val="00814881"/>
    <w:rsid w:val="008307E9"/>
    <w:rsid w:val="008A457B"/>
    <w:rsid w:val="008A71FF"/>
    <w:rsid w:val="008F6B48"/>
    <w:rsid w:val="00A805BC"/>
    <w:rsid w:val="00B01EE1"/>
    <w:rsid w:val="00C4575A"/>
    <w:rsid w:val="00CB379C"/>
    <w:rsid w:val="00D21C3E"/>
    <w:rsid w:val="00D251A5"/>
    <w:rsid w:val="00F431C2"/>
    <w:rsid w:val="00F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05A3F-FB85-44AD-BA94-65C85A3E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0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A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C2"/>
  </w:style>
  <w:style w:type="paragraph" w:styleId="Footer">
    <w:name w:val="footer"/>
    <w:basedOn w:val="Normal"/>
    <w:link w:val="FooterChar"/>
    <w:uiPriority w:val="99"/>
    <w:unhideWhenUsed/>
    <w:rsid w:val="00F4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C2"/>
  </w:style>
  <w:style w:type="table" w:styleId="TableGrid">
    <w:name w:val="Table Grid"/>
    <w:basedOn w:val="TableNormal"/>
    <w:uiPriority w:val="39"/>
    <w:rsid w:val="003A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3A3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dx.doi.org/10.1175/MWR-D-11-00007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3787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Fairall</dc:creator>
  <cp:keywords/>
  <dc:description/>
  <cp:lastModifiedBy>Chris Fairall</cp:lastModifiedBy>
  <cp:revision>24</cp:revision>
  <dcterms:created xsi:type="dcterms:W3CDTF">2013-03-27T15:05:00Z</dcterms:created>
  <dcterms:modified xsi:type="dcterms:W3CDTF">2013-04-26T15:11:00Z</dcterms:modified>
</cp:coreProperties>
</file>