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93BA0" w14:textId="29A73492" w:rsidR="00944DB2" w:rsidRPr="005D0571" w:rsidRDefault="00944DB2" w:rsidP="00944DB2">
      <w:pPr>
        <w:pStyle w:val="Title"/>
        <w:spacing w:after="200"/>
        <w:rPr>
          <w:b/>
          <w:lang w:val="en-US"/>
        </w:rPr>
      </w:pPr>
      <w:bookmarkStart w:id="0" w:name="_GoBack"/>
      <w:bookmarkEnd w:id="0"/>
      <w:r w:rsidRPr="005D0571">
        <w:rPr>
          <w:b/>
          <w:lang w:val="en-US"/>
        </w:rPr>
        <w:t xml:space="preserve">Observations to Quantify Air-Sea Fluxes and Their Role in </w:t>
      </w:r>
      <w:r w:rsidR="006F2DAF">
        <w:rPr>
          <w:b/>
          <w:lang w:val="en-US"/>
        </w:rPr>
        <w:t>Global</w:t>
      </w:r>
      <w:r w:rsidRPr="005D0571">
        <w:rPr>
          <w:b/>
          <w:lang w:val="en-US"/>
        </w:rPr>
        <w:t xml:space="preserve"> Variability and Predictability</w:t>
      </w:r>
    </w:p>
    <w:p w14:paraId="3D3142F7" w14:textId="0AB43501" w:rsidR="00944DB2" w:rsidRPr="005D0571" w:rsidRDefault="00944DB2" w:rsidP="00944DB2">
      <w:pPr>
        <w:pStyle w:val="Author"/>
        <w:spacing w:after="240"/>
        <w:rPr>
          <w:lang w:val="en-US"/>
        </w:rPr>
      </w:pPr>
      <w:r w:rsidRPr="005D0571">
        <w:rPr>
          <w:lang w:val="en-US"/>
        </w:rPr>
        <w:t xml:space="preserve">Christopher W. </w:t>
      </w:r>
      <w:proofErr w:type="spellStart"/>
      <w:r w:rsidRPr="005D0571">
        <w:rPr>
          <w:lang w:val="en-US"/>
        </w:rPr>
        <w:t>Fairall</w:t>
      </w:r>
      <w:proofErr w:type="spellEnd"/>
      <w:r w:rsidRPr="005D0571">
        <w:rPr>
          <w:vertAlign w:val="superscript"/>
          <w:lang w:val="en-US"/>
        </w:rPr>
        <w:t>(1)</w:t>
      </w:r>
      <w:r w:rsidRPr="005D0571">
        <w:rPr>
          <w:lang w:val="en-US"/>
        </w:rPr>
        <w:t>, Mark A. Bourassa</w:t>
      </w:r>
      <w:r>
        <w:rPr>
          <w:vertAlign w:val="superscript"/>
          <w:lang w:val="en-US"/>
        </w:rPr>
        <w:t>(2</w:t>
      </w:r>
      <w:r w:rsidRPr="005D0571">
        <w:rPr>
          <w:vertAlign w:val="superscript"/>
          <w:lang w:val="en-US"/>
        </w:rPr>
        <w:t>)</w:t>
      </w:r>
      <w:r w:rsidRPr="005D0571">
        <w:rPr>
          <w:lang w:val="en-US"/>
        </w:rPr>
        <w:t xml:space="preserve">, </w:t>
      </w:r>
      <w:r>
        <w:rPr>
          <w:lang w:val="en-US"/>
        </w:rPr>
        <w:t>Meghan F. Cronin</w:t>
      </w:r>
      <w:r w:rsidRPr="00C249B0">
        <w:rPr>
          <w:vertAlign w:val="superscript"/>
          <w:lang w:val="en-US"/>
        </w:rPr>
        <w:t>(3)</w:t>
      </w:r>
      <w:r>
        <w:rPr>
          <w:lang w:val="en-US"/>
        </w:rPr>
        <w:t xml:space="preserve">, </w:t>
      </w:r>
      <w:r w:rsidRPr="005D0571">
        <w:rPr>
          <w:lang w:val="en-US"/>
        </w:rPr>
        <w:t>Shawn R. Smith</w:t>
      </w:r>
      <w:r w:rsidR="00722AF1">
        <w:rPr>
          <w:vertAlign w:val="superscript"/>
          <w:lang w:val="en-US"/>
        </w:rPr>
        <w:t>(2</w:t>
      </w:r>
      <w:r w:rsidRPr="005D0571">
        <w:rPr>
          <w:vertAlign w:val="superscript"/>
          <w:lang w:val="en-US"/>
        </w:rPr>
        <w:t>)</w:t>
      </w:r>
      <w:r w:rsidRPr="005D0571">
        <w:rPr>
          <w:lang w:val="en-US"/>
        </w:rPr>
        <w:t xml:space="preserve">, </w:t>
      </w:r>
      <w:r w:rsidRPr="005D0571">
        <w:rPr>
          <w:lang w:val="en-US"/>
        </w:rPr>
        <w:br/>
        <w:t>Robert A. Weller</w:t>
      </w:r>
      <w:r w:rsidR="00722AF1">
        <w:rPr>
          <w:vertAlign w:val="superscript"/>
          <w:lang w:val="en-US"/>
        </w:rPr>
        <w:t>(4</w:t>
      </w:r>
      <w:r w:rsidRPr="005D0571">
        <w:rPr>
          <w:vertAlign w:val="superscript"/>
          <w:lang w:val="en-US"/>
        </w:rPr>
        <w:t>)</w:t>
      </w:r>
      <w:r w:rsidRPr="005D0571">
        <w:rPr>
          <w:lang w:val="en-US"/>
        </w:rPr>
        <w:t xml:space="preserve">, </w:t>
      </w:r>
      <w:r>
        <w:rPr>
          <w:lang w:val="en-US"/>
        </w:rPr>
        <w:t>Gary Wick</w:t>
      </w:r>
      <w:r w:rsidRPr="00C249B0">
        <w:rPr>
          <w:vertAlign w:val="superscript"/>
          <w:lang w:val="en-US"/>
        </w:rPr>
        <w:t>(1)</w:t>
      </w:r>
      <w:r>
        <w:rPr>
          <w:lang w:val="en-US"/>
        </w:rPr>
        <w:t>, Scott Woodruff</w:t>
      </w:r>
      <w:r w:rsidRPr="00C249B0">
        <w:rPr>
          <w:vertAlign w:val="superscript"/>
          <w:lang w:val="en-US"/>
        </w:rPr>
        <w:t>(1)</w:t>
      </w:r>
      <w:r>
        <w:rPr>
          <w:lang w:val="en-US"/>
        </w:rPr>
        <w:t xml:space="preserve">, </w:t>
      </w:r>
      <w:proofErr w:type="spellStart"/>
      <w:r>
        <w:rPr>
          <w:lang w:val="en-US"/>
        </w:rPr>
        <w:t>Lisan</w:t>
      </w:r>
      <w:proofErr w:type="spellEnd"/>
      <w:r>
        <w:rPr>
          <w:lang w:val="en-US"/>
        </w:rPr>
        <w:t xml:space="preserve"> Yu</w:t>
      </w:r>
      <w:r w:rsidR="00722AF1">
        <w:rPr>
          <w:vertAlign w:val="superscript"/>
          <w:lang w:val="en-US"/>
        </w:rPr>
        <w:t>(4</w:t>
      </w:r>
      <w:r w:rsidRPr="00C249B0">
        <w:rPr>
          <w:vertAlign w:val="superscript"/>
          <w:lang w:val="en-US"/>
        </w:rPr>
        <w:t>)</w:t>
      </w:r>
      <w:r>
        <w:rPr>
          <w:lang w:val="en-US"/>
        </w:rPr>
        <w:t xml:space="preserve">, </w:t>
      </w:r>
      <w:proofErr w:type="spellStart"/>
      <w:r w:rsidRPr="005D0571">
        <w:rPr>
          <w:lang w:val="en-US"/>
        </w:rPr>
        <w:t>Huai</w:t>
      </w:r>
      <w:proofErr w:type="spellEnd"/>
      <w:r w:rsidRPr="005D0571">
        <w:rPr>
          <w:lang w:val="en-US"/>
        </w:rPr>
        <w:t>-Min Zhang</w:t>
      </w:r>
      <w:r w:rsidR="00722AF1">
        <w:rPr>
          <w:vertAlign w:val="superscript"/>
          <w:lang w:val="en-US"/>
        </w:rPr>
        <w:t>(5</w:t>
      </w:r>
      <w:r w:rsidRPr="005D0571">
        <w:rPr>
          <w:vertAlign w:val="superscript"/>
          <w:lang w:val="en-US"/>
        </w:rPr>
        <w:t>)</w:t>
      </w:r>
    </w:p>
    <w:p w14:paraId="25E2CF67" w14:textId="72B21A9A" w:rsidR="00944DB2" w:rsidRPr="005D0571" w:rsidRDefault="00944DB2" w:rsidP="00944DB2">
      <w:pPr>
        <w:pStyle w:val="Affiliation"/>
        <w:rPr>
          <w:i/>
          <w:lang w:val="en-US"/>
        </w:rPr>
      </w:pPr>
      <w:r w:rsidRPr="005D0571">
        <w:rPr>
          <w:i/>
          <w:vertAlign w:val="superscript"/>
          <w:lang w:val="en-US"/>
        </w:rPr>
        <w:t xml:space="preserve">(1) </w:t>
      </w:r>
      <w:r w:rsidRPr="005D0571">
        <w:rPr>
          <w:i/>
          <w:lang w:val="en-US"/>
        </w:rPr>
        <w:t>NOAA/ESRL/PSD, R/PSD3, 325 Broadway, Boulder, CO 80305-3328, USA, Email</w:t>
      </w:r>
      <w:r w:rsidR="004B19A0">
        <w:rPr>
          <w:i/>
          <w:lang w:val="en-US"/>
        </w:rPr>
        <w:t>s</w:t>
      </w:r>
      <w:r w:rsidRPr="005D0571">
        <w:rPr>
          <w:i/>
          <w:lang w:val="en-US"/>
        </w:rPr>
        <w:t xml:space="preserve">: </w:t>
      </w:r>
      <w:hyperlink r:id="rId9" w:history="1">
        <w:r w:rsidR="004B19A0" w:rsidRPr="006213F8">
          <w:rPr>
            <w:rStyle w:val="Hyperlink"/>
            <w:i/>
            <w:lang w:val="en-US"/>
          </w:rPr>
          <w:t>Chris.Fairall@noaa.gov</w:t>
        </w:r>
      </w:hyperlink>
      <w:r w:rsidR="004B19A0">
        <w:rPr>
          <w:i/>
          <w:lang w:val="en-US"/>
        </w:rPr>
        <w:t xml:space="preserve">, </w:t>
      </w:r>
      <w:hyperlink r:id="rId10" w:history="1">
        <w:r w:rsidR="00B51C08" w:rsidRPr="006213F8">
          <w:rPr>
            <w:rStyle w:val="Hyperlink"/>
            <w:i/>
            <w:lang w:val="en-US"/>
          </w:rPr>
          <w:t>gary.a.wick@noaa.gov</w:t>
        </w:r>
      </w:hyperlink>
      <w:r w:rsidR="00474752">
        <w:rPr>
          <w:i/>
          <w:lang w:val="en-US"/>
        </w:rPr>
        <w:t xml:space="preserve">, </w:t>
      </w:r>
      <w:hyperlink r:id="rId11" w:history="1">
        <w:r w:rsidR="004B19A0" w:rsidRPr="006C42D4">
          <w:rPr>
            <w:rStyle w:val="Hyperlink"/>
            <w:i/>
            <w:lang w:val="en-US"/>
          </w:rPr>
          <w:t>Scott.D.Woodruff@noaa.gov</w:t>
        </w:r>
      </w:hyperlink>
    </w:p>
    <w:p w14:paraId="093B7BD0" w14:textId="7ABC81B1" w:rsidR="00944DB2" w:rsidRPr="005D0571" w:rsidRDefault="00944DB2">
      <w:pPr>
        <w:pStyle w:val="Affiliation"/>
        <w:rPr>
          <w:i/>
          <w:lang w:val="en-US"/>
        </w:rPr>
      </w:pPr>
      <w:r>
        <w:rPr>
          <w:i/>
          <w:vertAlign w:val="superscript"/>
          <w:lang w:val="en-US"/>
        </w:rPr>
        <w:t xml:space="preserve"> (2</w:t>
      </w:r>
      <w:r w:rsidRPr="005D0571">
        <w:rPr>
          <w:i/>
          <w:vertAlign w:val="superscript"/>
          <w:lang w:val="en-US"/>
        </w:rPr>
        <w:t xml:space="preserve">) </w:t>
      </w:r>
      <w:r w:rsidRPr="005D0571">
        <w:rPr>
          <w:i/>
          <w:lang w:val="en-US"/>
        </w:rPr>
        <w:t xml:space="preserve">Center for Ocean-Atmospheric Prediction Studies, Florida State University, Tallahassee, FL 32306-2840, USA, Emails: </w:t>
      </w:r>
      <w:hyperlink r:id="rId12" w:history="1">
        <w:r w:rsidRPr="006C42D4">
          <w:rPr>
            <w:rStyle w:val="Hyperlink"/>
            <w:i/>
            <w:lang w:val="en-US"/>
          </w:rPr>
          <w:t>bourassa@coaps.fsu.edu</w:t>
        </w:r>
      </w:hyperlink>
      <w:r w:rsidRPr="005D0571">
        <w:rPr>
          <w:i/>
          <w:lang w:val="en-US"/>
        </w:rPr>
        <w:t xml:space="preserve">, </w:t>
      </w:r>
      <w:hyperlink r:id="rId13" w:history="1">
        <w:r w:rsidRPr="006C42D4">
          <w:rPr>
            <w:rStyle w:val="Hyperlink"/>
            <w:i/>
            <w:lang w:val="en-US"/>
          </w:rPr>
          <w:t>smith@coaps.fsu.edu</w:t>
        </w:r>
      </w:hyperlink>
    </w:p>
    <w:p w14:paraId="4A09826D" w14:textId="2271CAB8" w:rsidR="00944DB2" w:rsidRPr="005D0571" w:rsidRDefault="00944DB2">
      <w:pPr>
        <w:pStyle w:val="Affiliation"/>
        <w:rPr>
          <w:i/>
          <w:lang w:val="en-US"/>
        </w:rPr>
      </w:pPr>
      <w:r>
        <w:rPr>
          <w:i/>
          <w:vertAlign w:val="superscript"/>
          <w:lang w:val="en-US"/>
        </w:rPr>
        <w:t>(3</w:t>
      </w:r>
      <w:r w:rsidRPr="005D0571">
        <w:rPr>
          <w:i/>
          <w:vertAlign w:val="superscript"/>
          <w:lang w:val="en-US"/>
        </w:rPr>
        <w:t xml:space="preserve">) </w:t>
      </w:r>
      <w:r>
        <w:rPr>
          <w:i/>
          <w:lang w:val="en-US"/>
        </w:rPr>
        <w:t xml:space="preserve">NOAA/PMEL Seattle, WA USA, Email: </w:t>
      </w:r>
      <w:hyperlink r:id="rId14" w:history="1">
        <w:r w:rsidRPr="006C42D4">
          <w:rPr>
            <w:rStyle w:val="Hyperlink"/>
            <w:i/>
            <w:lang w:val="en-US"/>
          </w:rPr>
          <w:t>Meghan.F.Cronin@noaa.gov</w:t>
        </w:r>
      </w:hyperlink>
    </w:p>
    <w:p w14:paraId="69DD5B59" w14:textId="4E710DD8" w:rsidR="00944DB2" w:rsidRPr="005D0571" w:rsidRDefault="00722AF1" w:rsidP="00944DB2">
      <w:pPr>
        <w:pStyle w:val="Affiliation"/>
        <w:rPr>
          <w:i/>
          <w:lang w:val="en-US"/>
        </w:rPr>
      </w:pPr>
      <w:r>
        <w:rPr>
          <w:i/>
          <w:vertAlign w:val="superscript"/>
          <w:lang w:val="en-US"/>
        </w:rPr>
        <w:t>(4</w:t>
      </w:r>
      <w:r w:rsidR="00944DB2" w:rsidRPr="005D0571">
        <w:rPr>
          <w:i/>
          <w:vertAlign w:val="superscript"/>
          <w:lang w:val="en-US"/>
        </w:rPr>
        <w:t xml:space="preserve">) </w:t>
      </w:r>
      <w:r w:rsidR="00944DB2" w:rsidRPr="005D0571">
        <w:rPr>
          <w:i/>
          <w:lang w:val="en-US"/>
        </w:rPr>
        <w:t xml:space="preserve">Woods Hole Oceanographic Institution, Woods Hole, MA 02543, USA, Email: </w:t>
      </w:r>
      <w:hyperlink r:id="rId15" w:history="1">
        <w:r w:rsidR="003A6560" w:rsidRPr="001F6763">
          <w:rPr>
            <w:rStyle w:val="Hyperlink"/>
            <w:i/>
            <w:lang w:val="en-US"/>
          </w:rPr>
          <w:t>rweller@whoi.edu</w:t>
        </w:r>
      </w:hyperlink>
      <w:r w:rsidR="003A6560">
        <w:rPr>
          <w:i/>
          <w:lang w:val="en-US"/>
        </w:rPr>
        <w:t xml:space="preserve">, </w:t>
      </w:r>
      <w:r w:rsidR="003A6560" w:rsidRPr="003A6560">
        <w:rPr>
          <w:i/>
          <w:lang w:val="en-US"/>
        </w:rPr>
        <w:t>lyu@whoi.edu</w:t>
      </w:r>
    </w:p>
    <w:p w14:paraId="6C0657AC" w14:textId="14F9CC42" w:rsidR="00944DB2" w:rsidRPr="005D0571" w:rsidRDefault="00722AF1" w:rsidP="00944DB2">
      <w:pPr>
        <w:pStyle w:val="Affiliation"/>
        <w:rPr>
          <w:i/>
          <w:lang w:val="en-US"/>
        </w:rPr>
      </w:pPr>
      <w:r>
        <w:rPr>
          <w:i/>
          <w:vertAlign w:val="superscript"/>
          <w:lang w:val="en-US"/>
        </w:rPr>
        <w:t>(5</w:t>
      </w:r>
      <w:r w:rsidR="00944DB2" w:rsidRPr="005D0571">
        <w:rPr>
          <w:i/>
          <w:vertAlign w:val="superscript"/>
          <w:lang w:val="en-US"/>
        </w:rPr>
        <w:t xml:space="preserve">) </w:t>
      </w:r>
      <w:r w:rsidR="00944DB2" w:rsidRPr="005D0571">
        <w:rPr>
          <w:i/>
          <w:lang w:val="en-US"/>
        </w:rPr>
        <w:t xml:space="preserve">NOAA National Climatic Data Center, 151 Patton Ave., Asheville, NC 28801, USA, </w:t>
      </w:r>
      <w:r w:rsidR="00944DB2" w:rsidRPr="005D0571">
        <w:rPr>
          <w:i/>
          <w:lang w:val="en-US"/>
        </w:rPr>
        <w:br/>
        <w:t xml:space="preserve">Email: </w:t>
      </w:r>
      <w:hyperlink r:id="rId16" w:history="1">
        <w:r w:rsidR="00944DB2" w:rsidRPr="006C42D4">
          <w:rPr>
            <w:rStyle w:val="Hyperlink"/>
            <w:i/>
            <w:lang w:val="en-US"/>
          </w:rPr>
          <w:t>Huai-min.Zhang@noaa.gov</w:t>
        </w:r>
      </w:hyperlink>
    </w:p>
    <w:p w14:paraId="4A5E425E" w14:textId="77777777" w:rsidR="00944DB2" w:rsidRPr="005D0571" w:rsidRDefault="00944DB2" w:rsidP="00944DB2">
      <w:pPr>
        <w:pStyle w:val="Affiliation"/>
        <w:jc w:val="both"/>
        <w:rPr>
          <w:lang w:val="en-US"/>
        </w:rPr>
      </w:pPr>
    </w:p>
    <w:p w14:paraId="1D24E4BF" w14:textId="77777777" w:rsidR="00944DB2" w:rsidRPr="005D0571" w:rsidRDefault="00944DB2" w:rsidP="00944DB2">
      <w:pPr>
        <w:pStyle w:val="Affiliation"/>
        <w:jc w:val="both"/>
        <w:rPr>
          <w:lang w:val="en-US"/>
        </w:rPr>
        <w:sectPr w:rsidR="00944DB2" w:rsidRPr="005D0571">
          <w:headerReference w:type="default" r:id="rId17"/>
          <w:footerReference w:type="even" r:id="rId18"/>
          <w:footerReference w:type="default" r:id="rId19"/>
          <w:type w:val="continuous"/>
          <w:pgSz w:w="11907" w:h="16840" w:code="9"/>
          <w:pgMar w:top="1435" w:right="1134" w:bottom="2132" w:left="1134" w:header="720" w:footer="720" w:gutter="0"/>
          <w:cols w:space="720" w:equalWidth="0">
            <w:col w:w="9639" w:space="720"/>
          </w:cols>
        </w:sectPr>
      </w:pPr>
    </w:p>
    <w:p w14:paraId="2B6829A3" w14:textId="77777777" w:rsidR="00944DB2" w:rsidRPr="005D0571" w:rsidRDefault="00944DB2" w:rsidP="00944DB2">
      <w:pPr>
        <w:pStyle w:val="Heading1"/>
        <w:rPr>
          <w:b/>
          <w:lang w:val="en-US"/>
        </w:rPr>
      </w:pPr>
      <w:r w:rsidRPr="005D0571">
        <w:rPr>
          <w:b/>
          <w:lang w:val="en-US"/>
        </w:rPr>
        <w:lastRenderedPageBreak/>
        <w:t>ABSTRACT</w:t>
      </w:r>
    </w:p>
    <w:p w14:paraId="5612192C" w14:textId="1D722F7E" w:rsidR="00944DB2" w:rsidRPr="005D0571" w:rsidRDefault="00944DB2" w:rsidP="00944DB2">
      <w:pPr>
        <w:rPr>
          <w:lang w:val="en-US"/>
        </w:rPr>
      </w:pPr>
      <w:r w:rsidRPr="005D0571">
        <w:rPr>
          <w:lang w:val="en-US"/>
        </w:rPr>
        <w:t>Flux products quantifying exchanges between ocean and atmosphere are needed for forcing models, understanding ocean dynamics, investigating the ocean’s role in climate, and assessing coupled models. Research experiments</w:t>
      </w:r>
      <w:r w:rsidRPr="005D0571" w:rsidDel="00B234CB">
        <w:rPr>
          <w:lang w:val="en-US"/>
        </w:rPr>
        <w:t xml:space="preserve"> are essential to</w:t>
      </w:r>
      <w:r w:rsidRPr="005D0571">
        <w:rPr>
          <w:lang w:val="en-US"/>
        </w:rPr>
        <w:t xml:space="preserve"> improve flux parameterizations, and longer research deployments are required to sample rare events. </w:t>
      </w:r>
      <w:r w:rsidR="00DD63D0">
        <w:rPr>
          <w:lang w:val="en-US"/>
        </w:rPr>
        <w:t xml:space="preserve">Needed </w:t>
      </w:r>
      <w:r w:rsidRPr="005D0571">
        <w:rPr>
          <w:lang w:val="en-US"/>
        </w:rPr>
        <w:t>technological imp</w:t>
      </w:r>
      <w:r w:rsidR="00C53265">
        <w:rPr>
          <w:lang w:val="en-US"/>
        </w:rPr>
        <w:t>rovements include longer buoy deployment</w:t>
      </w:r>
      <w:r w:rsidRPr="005D0571">
        <w:rPr>
          <w:lang w:val="en-US"/>
        </w:rPr>
        <w:t xml:space="preserve"> life, more robust sensors </w:t>
      </w:r>
      <w:r w:rsidRPr="005D0571" w:rsidDel="00FE3C05">
        <w:rPr>
          <w:lang w:val="en-US"/>
        </w:rPr>
        <w:t>and</w:t>
      </w:r>
      <w:r w:rsidRPr="005D0571">
        <w:rPr>
          <w:lang w:val="en-US"/>
        </w:rPr>
        <w:t xml:space="preserve"> improvement of sensors for humidity, precipitation and direct gas and particle fluxes. A range of different flux products are needed, incorporating data from ships, satellites and models in different combinations and using different methods. </w:t>
      </w:r>
      <w:r w:rsidRPr="005D0571" w:rsidDel="00B234CB">
        <w:rPr>
          <w:lang w:val="en-US"/>
        </w:rPr>
        <w:t>Dataset validation</w:t>
      </w:r>
      <w:r w:rsidRPr="005D0571">
        <w:rPr>
          <w:lang w:val="en-US"/>
        </w:rPr>
        <w:t xml:space="preserve"> requires high quality observations from ocean flux reference sites and from ships. The continued development of flux products from satellites provides much-needed sampling. Continual comparisons among products and with high quality observations </w:t>
      </w:r>
      <w:r w:rsidR="00DD63D0">
        <w:rPr>
          <w:lang w:val="en-US"/>
        </w:rPr>
        <w:t>are required to improve</w:t>
      </w:r>
      <w:r w:rsidRPr="005D0571">
        <w:rPr>
          <w:lang w:val="en-US"/>
        </w:rPr>
        <w:t xml:space="preserve"> flux datasets</w:t>
      </w:r>
      <w:r w:rsidR="00A33EE4">
        <w:rPr>
          <w:lang w:val="en-US"/>
        </w:rPr>
        <w:t xml:space="preserve"> and maintain calibration and the stability of satellite calibrations</w:t>
      </w:r>
      <w:r w:rsidRPr="005D0571">
        <w:rPr>
          <w:lang w:val="en-US"/>
        </w:rPr>
        <w:t>.</w:t>
      </w:r>
    </w:p>
    <w:p w14:paraId="0F5C875A" w14:textId="77777777" w:rsidR="00944DB2" w:rsidRPr="005D0571" w:rsidRDefault="00944DB2">
      <w:pPr>
        <w:rPr>
          <w:color w:val="000000"/>
          <w:lang w:val="en-US"/>
        </w:rPr>
      </w:pPr>
    </w:p>
    <w:p w14:paraId="6BC13D6B" w14:textId="77777777" w:rsidR="00944DB2" w:rsidRPr="005D0571" w:rsidRDefault="00944DB2" w:rsidP="00944DB2">
      <w:pPr>
        <w:pStyle w:val="Heading1"/>
        <w:rPr>
          <w:b/>
          <w:lang w:val="en-US"/>
        </w:rPr>
      </w:pPr>
      <w:r w:rsidRPr="005D0571">
        <w:rPr>
          <w:b/>
          <w:lang w:val="en-US"/>
        </w:rPr>
        <w:t>INTRODUCTION</w:t>
      </w:r>
    </w:p>
    <w:p w14:paraId="6F5E14C6" w14:textId="2C92C065" w:rsidR="001D693B" w:rsidRDefault="00944DB2" w:rsidP="00944DB2">
      <w:pPr>
        <w:rPr>
          <w:lang w:val="en-US"/>
        </w:rPr>
      </w:pPr>
      <w:r w:rsidRPr="005D0571">
        <w:rPr>
          <w:lang w:val="en-US"/>
        </w:rPr>
        <w:t xml:space="preserve">OceanObs99 envisaged an air-sea flux observing system </w:t>
      </w:r>
      <w:r w:rsidR="003A34D1">
        <w:rPr>
          <w:lang w:val="en-US"/>
        </w:rPr>
        <w:t xml:space="preserve">comprised of </w:t>
      </w:r>
      <w:r w:rsidR="009D07D4">
        <w:rPr>
          <w:lang w:val="en-US"/>
        </w:rPr>
        <w:t xml:space="preserve">sustained autonomous measurements </w:t>
      </w:r>
      <w:r w:rsidR="003A34D1">
        <w:rPr>
          <w:lang w:val="en-US"/>
        </w:rPr>
        <w:t>and</w:t>
      </w:r>
      <w:r w:rsidRPr="005D0571">
        <w:rPr>
          <w:lang w:val="en-US"/>
        </w:rPr>
        <w:t xml:space="preserve"> research campaigns to </w:t>
      </w:r>
      <w:r w:rsidR="009D07D4">
        <w:rPr>
          <w:lang w:val="en-US"/>
        </w:rPr>
        <w:t xml:space="preserve">test and </w:t>
      </w:r>
      <w:r w:rsidRPr="005D0571">
        <w:rPr>
          <w:lang w:val="en-US"/>
        </w:rPr>
        <w:t>improve flux parameterizations</w:t>
      </w:r>
      <w:r w:rsidR="00C931FA">
        <w:rPr>
          <w:lang w:val="en-US"/>
        </w:rPr>
        <w:t xml:space="preserve"> used at the autonomous stations</w:t>
      </w:r>
      <w:r w:rsidRPr="005D0571">
        <w:rPr>
          <w:lang w:val="en-US"/>
        </w:rPr>
        <w:t>.</w:t>
      </w:r>
      <w:r w:rsidR="001D693B">
        <w:rPr>
          <w:lang w:val="en-US"/>
        </w:rPr>
        <w:t xml:space="preserve"> </w:t>
      </w:r>
      <w:r w:rsidRPr="005D0571" w:rsidDel="00B234CB">
        <w:rPr>
          <w:lang w:val="en-US"/>
        </w:rPr>
        <w:t>Progress since</w:t>
      </w:r>
      <w:r w:rsidRPr="005D0571">
        <w:rPr>
          <w:lang w:val="en-US"/>
        </w:rPr>
        <w:t xml:space="preserve"> OceanObs99</w:t>
      </w:r>
      <w:r w:rsidR="001D693B">
        <w:rPr>
          <w:lang w:val="en-US"/>
        </w:rPr>
        <w:t xml:space="preserve"> - reviewed at OceanObs09</w:t>
      </w:r>
      <w:r w:rsidRPr="005D0571">
        <w:rPr>
          <w:lang w:val="en-US"/>
        </w:rPr>
        <w:t xml:space="preserve"> </w:t>
      </w:r>
      <w:r w:rsidR="001D693B">
        <w:rPr>
          <w:lang w:val="en-US"/>
        </w:rPr>
        <w:t xml:space="preserve">[1] - </w:t>
      </w:r>
      <w:r w:rsidRPr="005D0571">
        <w:rPr>
          <w:lang w:val="en-US"/>
        </w:rPr>
        <w:t xml:space="preserve">includes the deployment of flux reference buoys, development of packages for routine direct measurements of turbulent fluxes, the use of </w:t>
      </w:r>
      <w:r w:rsidRPr="005D0571">
        <w:rPr>
          <w:i/>
          <w:lang w:val="en-US"/>
        </w:rPr>
        <w:t>in situ</w:t>
      </w:r>
      <w:r w:rsidRPr="005D0571">
        <w:rPr>
          <w:lang w:val="en-US"/>
        </w:rPr>
        <w:t xml:space="preserve"> data to validate </w:t>
      </w:r>
      <w:r w:rsidR="00C931FA">
        <w:rPr>
          <w:lang w:val="en-US"/>
        </w:rPr>
        <w:t>Numerical Weather Prediction (</w:t>
      </w:r>
      <w:r w:rsidRPr="005D0571">
        <w:rPr>
          <w:lang w:val="en-US"/>
        </w:rPr>
        <w:t>NWP</w:t>
      </w:r>
      <w:r w:rsidR="00C931FA">
        <w:rPr>
          <w:lang w:val="en-US"/>
        </w:rPr>
        <w:t>)</w:t>
      </w:r>
      <w:r w:rsidRPr="005D0571">
        <w:rPr>
          <w:lang w:val="en-US"/>
        </w:rPr>
        <w:t xml:space="preserve"> fluxes, the development of satellite-derived and blended flux products, and specialized validation activities. </w:t>
      </w:r>
    </w:p>
    <w:p w14:paraId="074FE725" w14:textId="7816BACB" w:rsidR="00FD6AD8" w:rsidRDefault="00C53265" w:rsidP="00944DB2">
      <w:pPr>
        <w:rPr>
          <w:lang w:val="en-US"/>
        </w:rPr>
      </w:pPr>
      <w:r>
        <w:rPr>
          <w:lang w:val="en-US"/>
        </w:rPr>
        <w:t>Here w</w:t>
      </w:r>
      <w:r w:rsidR="00944DB2" w:rsidRPr="005D0571">
        <w:rPr>
          <w:lang w:val="en-US"/>
        </w:rPr>
        <w:t>e focus on requirements for measurements of ocean surface fluxes and flux-related variables necessary for observing and predicting the climate</w:t>
      </w:r>
      <w:r w:rsidR="00F41F47">
        <w:rPr>
          <w:lang w:val="en-US"/>
        </w:rPr>
        <w:t>,</w:t>
      </w:r>
      <w:r w:rsidR="00B71B81">
        <w:rPr>
          <w:lang w:val="en-US"/>
        </w:rPr>
        <w:t xml:space="preserve"> biochemical</w:t>
      </w:r>
      <w:r w:rsidR="00F41F47">
        <w:rPr>
          <w:lang w:val="en-US"/>
        </w:rPr>
        <w:t>, and eco</w:t>
      </w:r>
      <w:r w:rsidR="00B71B81">
        <w:rPr>
          <w:lang w:val="en-US"/>
        </w:rPr>
        <w:t xml:space="preserve"> systems</w:t>
      </w:r>
      <w:r w:rsidR="00944DB2" w:rsidRPr="005D0571">
        <w:rPr>
          <w:lang w:val="en-US"/>
        </w:rPr>
        <w:t xml:space="preserve">. Uncertainty in the air-sea exchanges of heat, freshwater, carbon and other properties constrains our ability to understand and </w:t>
      </w:r>
      <w:r w:rsidR="00944DB2" w:rsidRPr="005D0571">
        <w:rPr>
          <w:lang w:val="en-US"/>
        </w:rPr>
        <w:lastRenderedPageBreak/>
        <w:t xml:space="preserve">model changing climate. Flux products are required for forcing ocean models, understanding ocean dynamics, investigating the forcing of variability by the atmosphere and ocean, understanding the ocean’s role in climate variability and change, and assessing the realism of data-assimilative ocean models and coupled ocean-atmosphere models used for predictions from weather to climate time scales. </w:t>
      </w:r>
    </w:p>
    <w:p w14:paraId="1F63299F" w14:textId="0DE088C3" w:rsidR="00F77D04" w:rsidRPr="005D0571" w:rsidRDefault="00944DB2" w:rsidP="00944DB2">
      <w:pPr>
        <w:rPr>
          <w:lang w:val="en-US"/>
        </w:rPr>
      </w:pPr>
      <w:r w:rsidRPr="005D0571">
        <w:rPr>
          <w:lang w:val="en-US"/>
        </w:rPr>
        <w:t xml:space="preserve">Direct flux measurements are scarce and cannot be used to generate global flux datasets. Rather the surface fluxes are parameterized in terms of bulk meteorological estimates of the surface atmospheric and oceanic states. These parameterizations, used to compute fluxes from observed variables as well as those used in NWP </w:t>
      </w:r>
      <w:r w:rsidR="007F7752">
        <w:rPr>
          <w:lang w:val="en-US"/>
        </w:rPr>
        <w:t xml:space="preserve">analyses </w:t>
      </w:r>
      <w:r w:rsidRPr="005D0571">
        <w:rPr>
          <w:lang w:val="en-US"/>
        </w:rPr>
        <w:t>and reanalyses, also require continuous improvement. An effective flux observing strategy must include comparison</w:t>
      </w:r>
      <w:r w:rsidR="007F7752">
        <w:rPr>
          <w:lang w:val="en-US"/>
        </w:rPr>
        <w:t>s</w:t>
      </w:r>
      <w:r w:rsidRPr="005D0571">
        <w:rPr>
          <w:lang w:val="en-US"/>
        </w:rPr>
        <w:t xml:space="preserve"> of flux-related variables from different sources, </w:t>
      </w:r>
      <w:r w:rsidR="00E376CB">
        <w:rPr>
          <w:lang w:val="en-US"/>
        </w:rPr>
        <w:t xml:space="preserve">ongoing </w:t>
      </w:r>
      <w:r w:rsidRPr="005D0571">
        <w:rPr>
          <w:lang w:val="en-US"/>
        </w:rPr>
        <w:t>improvements to the accuracy of parameterizations and development of flux products to satisfy the requirements of climate prediction.</w:t>
      </w:r>
      <w:r w:rsidR="00F77D04">
        <w:rPr>
          <w:lang w:val="en-US"/>
        </w:rPr>
        <w:t xml:space="preserve">  This paper follows from [1,2] and considers the observational strategy for physical fluxes: the turbulent fluxes of sensible and latent heat, long and shortwave radiation, evaporation, precipitation</w:t>
      </w:r>
      <w:r w:rsidR="002247C5">
        <w:rPr>
          <w:lang w:val="en-US"/>
        </w:rPr>
        <w:t>, and wind stress</w:t>
      </w:r>
      <w:r w:rsidR="00F77D04">
        <w:rPr>
          <w:lang w:val="en-US"/>
        </w:rPr>
        <w:t xml:space="preserve">; and the fluxes of trace gases and aerosols. </w:t>
      </w:r>
    </w:p>
    <w:p w14:paraId="3A406E90" w14:textId="77777777" w:rsidR="00944DB2" w:rsidRPr="005D0571" w:rsidRDefault="00944DB2">
      <w:pPr>
        <w:rPr>
          <w:color w:val="000000"/>
          <w:lang w:val="en-US"/>
        </w:rPr>
      </w:pPr>
    </w:p>
    <w:p w14:paraId="54DE4DD2" w14:textId="77777777" w:rsidR="00944DB2" w:rsidRPr="005D0571" w:rsidRDefault="00944DB2" w:rsidP="00944DB2">
      <w:pPr>
        <w:pStyle w:val="Heading1"/>
        <w:rPr>
          <w:b/>
          <w:lang w:val="en-US"/>
        </w:rPr>
      </w:pPr>
      <w:r w:rsidRPr="005D0571">
        <w:rPr>
          <w:b/>
          <w:lang w:val="en-US"/>
        </w:rPr>
        <w:t>ACCURACY AND RESOLUTION REQUIREMENTS FOR SURFACE FLUXES</w:t>
      </w:r>
    </w:p>
    <w:p w14:paraId="6F5C6460" w14:textId="39C054A5" w:rsidR="00944DB2" w:rsidRDefault="00944DB2" w:rsidP="00944DB2">
      <w:pPr>
        <w:rPr>
          <w:lang w:val="en-US"/>
        </w:rPr>
      </w:pPr>
      <w:r w:rsidRPr="005D0571">
        <w:rPr>
          <w:lang w:val="en-US"/>
        </w:rPr>
        <w:t xml:space="preserve">The benchmark for surface </w:t>
      </w:r>
      <w:r w:rsidRPr="00F41F47">
        <w:rPr>
          <w:u w:val="single"/>
          <w:lang w:val="en-US"/>
        </w:rPr>
        <w:t>net heat flux</w:t>
      </w:r>
      <w:r w:rsidRPr="005D0571">
        <w:rPr>
          <w:lang w:val="en-US"/>
        </w:rPr>
        <w:t xml:space="preserve"> accuracy is ±10 Wm</w:t>
      </w:r>
      <w:r w:rsidRPr="005D0571">
        <w:rPr>
          <w:vertAlign w:val="superscript"/>
          <w:lang w:val="en-US"/>
        </w:rPr>
        <w:t>-2</w:t>
      </w:r>
      <w:r w:rsidRPr="005D0571">
        <w:rPr>
          <w:lang w:val="en-US"/>
        </w:rPr>
        <w:t xml:space="preserve"> over monthl</w:t>
      </w:r>
      <w:r w:rsidR="00C652D6">
        <w:rPr>
          <w:lang w:val="en-US"/>
        </w:rPr>
        <w:t>y to season</w:t>
      </w:r>
      <w:r w:rsidR="0087576B">
        <w:rPr>
          <w:lang w:val="en-US"/>
        </w:rPr>
        <w:t>al time scales [3</w:t>
      </w:r>
      <w:r w:rsidRPr="005D0571">
        <w:rPr>
          <w:lang w:val="en-US"/>
        </w:rPr>
        <w:t>], implying determination of individual components of the net heat flux to a few Wm</w:t>
      </w:r>
      <w:r w:rsidRPr="005D0571">
        <w:rPr>
          <w:vertAlign w:val="superscript"/>
          <w:lang w:val="en-US"/>
        </w:rPr>
        <w:t>-2</w:t>
      </w:r>
      <w:r w:rsidRPr="005D0571">
        <w:rPr>
          <w:lang w:val="en-US"/>
        </w:rPr>
        <w:t>. Wher</w:t>
      </w:r>
      <w:r w:rsidR="00C53265">
        <w:rPr>
          <w:lang w:val="en-US"/>
        </w:rPr>
        <w:t xml:space="preserve">e fluxes are parameterized this limits </w:t>
      </w:r>
      <w:r w:rsidRPr="005D0571">
        <w:rPr>
          <w:lang w:val="en-US"/>
        </w:rPr>
        <w:t>the mean bias of the input observations</w:t>
      </w:r>
      <w:r w:rsidR="0087576B">
        <w:rPr>
          <w:lang w:val="en-US"/>
        </w:rPr>
        <w:t xml:space="preserve"> of bulk meteorology</w:t>
      </w:r>
      <w:r w:rsidR="00F92ECC">
        <w:rPr>
          <w:lang w:val="en-US"/>
        </w:rPr>
        <w:t xml:space="preserve"> [1]</w:t>
      </w:r>
      <w:r w:rsidRPr="005D0571">
        <w:rPr>
          <w:lang w:val="en-US"/>
        </w:rPr>
        <w:t xml:space="preserve">. </w:t>
      </w:r>
      <w:r w:rsidR="00FD6AD8">
        <w:rPr>
          <w:lang w:val="en-US"/>
        </w:rPr>
        <w:t xml:space="preserve"> </w:t>
      </w:r>
      <w:r w:rsidR="00FD6AD8" w:rsidRPr="005D0571">
        <w:rPr>
          <w:lang w:val="en-US"/>
        </w:rPr>
        <w:t>Accuracy and resolution requirements are application dependent. The 10 Wm</w:t>
      </w:r>
      <w:r w:rsidR="00FD6AD8" w:rsidRPr="005D0571">
        <w:rPr>
          <w:vertAlign w:val="superscript"/>
          <w:lang w:val="en-US"/>
        </w:rPr>
        <w:t>-2</w:t>
      </w:r>
      <w:r w:rsidR="00FD6AD8" w:rsidRPr="005D0571">
        <w:rPr>
          <w:lang w:val="en-US"/>
        </w:rPr>
        <w:t xml:space="preserve"> </w:t>
      </w:r>
      <w:r w:rsidR="001B1D7B">
        <w:rPr>
          <w:lang w:val="en-US"/>
        </w:rPr>
        <w:t xml:space="preserve">benchmark </w:t>
      </w:r>
      <w:r w:rsidR="00FD6AD8" w:rsidRPr="005D0571">
        <w:rPr>
          <w:lang w:val="en-US"/>
        </w:rPr>
        <w:t xml:space="preserve">is only possible on much longer scales. </w:t>
      </w:r>
      <w:r w:rsidR="00FD6AD8">
        <w:rPr>
          <w:lang w:val="en-US"/>
        </w:rPr>
        <w:t xml:space="preserve"> </w:t>
      </w:r>
      <w:r w:rsidRPr="005D0571">
        <w:rPr>
          <w:lang w:val="en-US"/>
        </w:rPr>
        <w:t xml:space="preserve">Accuracy requirements for </w:t>
      </w:r>
      <w:r w:rsidR="00502F86">
        <w:rPr>
          <w:lang w:val="en-US"/>
        </w:rPr>
        <w:t xml:space="preserve">net </w:t>
      </w:r>
      <w:r w:rsidRPr="005D0571">
        <w:rPr>
          <w:lang w:val="en-US"/>
        </w:rPr>
        <w:t>freshwater flux (E-P) are hard to estimate</w:t>
      </w:r>
      <w:r w:rsidR="00502F86">
        <w:rPr>
          <w:lang w:val="en-US"/>
        </w:rPr>
        <w:t xml:space="preserve"> but uncertainty is dominated by precipitation</w:t>
      </w:r>
      <w:r w:rsidRPr="005D0571">
        <w:rPr>
          <w:lang w:val="en-US"/>
        </w:rPr>
        <w:t>. Biases in fluxes due to the parameterizations used in atmospheric reanalyses greater than 40 Wm</w:t>
      </w:r>
      <w:r w:rsidRPr="005D0571">
        <w:rPr>
          <w:vertAlign w:val="superscript"/>
          <w:lang w:val="en-US"/>
        </w:rPr>
        <w:t>-2</w:t>
      </w:r>
      <w:r w:rsidR="00125F62">
        <w:rPr>
          <w:lang w:val="en-US"/>
        </w:rPr>
        <w:t xml:space="preserve"> are common ([4]</w:t>
      </w:r>
      <w:r w:rsidRPr="005D0571">
        <w:rPr>
          <w:lang w:val="en-US"/>
        </w:rPr>
        <w:t xml:space="preserve"> Fig. 1). For </w:t>
      </w:r>
      <w:r w:rsidRPr="005D0571">
        <w:rPr>
          <w:lang w:val="en-US"/>
        </w:rPr>
        <w:lastRenderedPageBreak/>
        <w:t>regional applications an accurate representation of synoptic and sub-synoptic wind stress va</w:t>
      </w:r>
      <w:r w:rsidR="00125F62">
        <w:rPr>
          <w:lang w:val="en-US"/>
        </w:rPr>
        <w:t>riability is required</w:t>
      </w:r>
      <w:r w:rsidRPr="005D0571">
        <w:rPr>
          <w:lang w:val="en-US"/>
        </w:rPr>
        <w:t>. Available flux products produce insufficient ocean mixing due to poor representa</w:t>
      </w:r>
      <w:r w:rsidR="00125F62">
        <w:rPr>
          <w:lang w:val="en-US"/>
        </w:rPr>
        <w:t xml:space="preserve">tion of diurnal variations </w:t>
      </w:r>
      <w:r w:rsidRPr="005D0571">
        <w:rPr>
          <w:lang w:val="en-US"/>
        </w:rPr>
        <w:t>and small</w:t>
      </w:r>
      <w:r w:rsidR="006C42D4">
        <w:rPr>
          <w:lang w:val="en-US"/>
        </w:rPr>
        <w:t>-</w:t>
      </w:r>
      <w:r w:rsidRPr="005D0571">
        <w:rPr>
          <w:lang w:val="en-US"/>
        </w:rPr>
        <w:t>scale variability su</w:t>
      </w:r>
      <w:r w:rsidR="00125F62">
        <w:rPr>
          <w:lang w:val="en-US"/>
        </w:rPr>
        <w:t>ch as at atmospheric fronts</w:t>
      </w:r>
      <w:r w:rsidR="007A3A0E">
        <w:rPr>
          <w:lang w:val="en-US"/>
        </w:rPr>
        <w:t xml:space="preserve"> and SST gradients</w:t>
      </w:r>
      <w:r w:rsidRPr="005D0571">
        <w:rPr>
          <w:lang w:val="en-US"/>
        </w:rPr>
        <w:t xml:space="preserve">. Ocean wind-wave modeling requires highly accurate wind vectors </w:t>
      </w:r>
      <w:r w:rsidR="00125F62">
        <w:rPr>
          <w:lang w:val="en-US"/>
        </w:rPr>
        <w:t>with high space-time resolution</w:t>
      </w:r>
      <w:r w:rsidRPr="005D0571">
        <w:rPr>
          <w:lang w:val="en-US"/>
        </w:rPr>
        <w:t xml:space="preserve">. </w:t>
      </w:r>
    </w:p>
    <w:p w14:paraId="4683B714" w14:textId="77777777" w:rsidR="0001745C" w:rsidRPr="005D0571" w:rsidRDefault="0001745C" w:rsidP="00944DB2">
      <w:pPr>
        <w:rPr>
          <w:lang w:val="en-US"/>
        </w:rPr>
      </w:pPr>
    </w:p>
    <w:p w14:paraId="46134C03" w14:textId="77777777" w:rsidR="00944DB2" w:rsidRPr="005D0571" w:rsidRDefault="00E4122A" w:rsidP="00944DB2">
      <w:pPr>
        <w:jc w:val="center"/>
        <w:rPr>
          <w:lang w:val="en-US"/>
        </w:rPr>
      </w:pPr>
      <w:r>
        <w:rPr>
          <w:noProof/>
          <w:lang w:val="en-US"/>
        </w:rPr>
        <w:drawing>
          <wp:inline distT="0" distB="0" distL="0" distR="0" wp14:anchorId="62BF49C9" wp14:editId="5F7E922A">
            <wp:extent cx="2343150" cy="4152900"/>
            <wp:effectExtent l="0" t="0" r="0" b="0"/>
            <wp:docPr id="1" name="Picture 1" descr="flux__range_cwp_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ux__range_cwp_revised"/>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b="21582"/>
                    <a:stretch/>
                  </pic:blipFill>
                  <pic:spPr bwMode="auto">
                    <a:xfrm>
                      <a:off x="0" y="0"/>
                      <a:ext cx="2343150" cy="4152900"/>
                    </a:xfrm>
                    <a:prstGeom prst="rect">
                      <a:avLst/>
                    </a:prstGeom>
                    <a:noFill/>
                    <a:ln>
                      <a:noFill/>
                    </a:ln>
                    <a:extLst>
                      <a:ext uri="{53640926-AAD7-44D8-BBD7-CCE9431645EC}">
                        <a14:shadowObscured xmlns:a14="http://schemas.microsoft.com/office/drawing/2010/main"/>
                      </a:ext>
                    </a:extLst>
                  </pic:spPr>
                </pic:pic>
              </a:graphicData>
            </a:graphic>
          </wp:inline>
        </w:drawing>
      </w:r>
    </w:p>
    <w:p w14:paraId="6D57EF72" w14:textId="77777777" w:rsidR="00944DB2" w:rsidRPr="005D0571" w:rsidRDefault="00944DB2" w:rsidP="00944DB2">
      <w:pPr>
        <w:spacing w:after="120"/>
        <w:jc w:val="center"/>
        <w:rPr>
          <w:i/>
          <w:lang w:val="en-US"/>
        </w:rPr>
      </w:pPr>
      <w:r w:rsidRPr="005D0571">
        <w:rPr>
          <w:i/>
          <w:lang w:val="en-US"/>
        </w:rPr>
        <w:t xml:space="preserve">Figure 1: Monthly mean fluxes from NCEP, ERA-40, and </w:t>
      </w:r>
      <w:proofErr w:type="spellStart"/>
      <w:r w:rsidRPr="005D0571">
        <w:rPr>
          <w:i/>
          <w:lang w:val="en-US"/>
        </w:rPr>
        <w:t>OAFlux</w:t>
      </w:r>
      <w:proofErr w:type="spellEnd"/>
      <w:r w:rsidRPr="005D0571">
        <w:rPr>
          <w:i/>
          <w:lang w:val="en-US"/>
        </w:rPr>
        <w:t>. a) latent heat flux averaged over 1960 to 1999; b) range across products in monthly-mean estimates from 1960 to 1</w:t>
      </w:r>
      <w:r w:rsidR="00F31364">
        <w:rPr>
          <w:i/>
          <w:lang w:val="en-US"/>
        </w:rPr>
        <w:t>969; c) as b) for 1990 to 1999.</w:t>
      </w:r>
    </w:p>
    <w:p w14:paraId="6189D8E1" w14:textId="0726774C" w:rsidR="00B50C13" w:rsidRDefault="0001745C" w:rsidP="00944DB2">
      <w:pPr>
        <w:rPr>
          <w:lang w:val="en-US"/>
        </w:rPr>
      </w:pPr>
      <w:r w:rsidRPr="005D0571">
        <w:rPr>
          <w:lang w:val="en-US"/>
        </w:rPr>
        <w:t>Climate scale integrations aggregate errors over large time and space scales and are particularly sensitive to systematic biases</w:t>
      </w:r>
      <w:r w:rsidR="00177590">
        <w:rPr>
          <w:lang w:val="en-US"/>
        </w:rPr>
        <w:t xml:space="preserve">. </w:t>
      </w:r>
      <w:r w:rsidRPr="005D0571">
        <w:rPr>
          <w:lang w:val="en-US"/>
        </w:rPr>
        <w:t>There are currently no products that meet these accuracy requirements.</w:t>
      </w:r>
      <w:r w:rsidR="00177590">
        <w:rPr>
          <w:lang w:val="en-US"/>
        </w:rPr>
        <w:t xml:space="preserve">  </w:t>
      </w:r>
      <w:r w:rsidR="00944DB2" w:rsidRPr="005D0571">
        <w:rPr>
          <w:lang w:val="en-US"/>
        </w:rPr>
        <w:t>Studies of climate change and decadal variability must resolve changes in the net heat flux of few Wm</w:t>
      </w:r>
      <w:r w:rsidR="00944DB2" w:rsidRPr="005D0571">
        <w:rPr>
          <w:vertAlign w:val="superscript"/>
          <w:lang w:val="en-US"/>
        </w:rPr>
        <w:t>-2</w:t>
      </w:r>
      <w:r w:rsidR="00944DB2" w:rsidRPr="005D0571">
        <w:rPr>
          <w:lang w:val="en-US"/>
        </w:rPr>
        <w:t xml:space="preserve"> per decade, well beyond the capabilities of current observing systems. These studies also require accurate estimation of ocean precipitation. </w:t>
      </w:r>
    </w:p>
    <w:p w14:paraId="0052224F" w14:textId="77777777" w:rsidR="006B0B84" w:rsidRPr="005D0571" w:rsidRDefault="006B0B84" w:rsidP="00944DB2">
      <w:pPr>
        <w:rPr>
          <w:lang w:val="en-US"/>
        </w:rPr>
      </w:pPr>
    </w:p>
    <w:p w14:paraId="69FAD9C2" w14:textId="77777777" w:rsidR="00357BF2" w:rsidRPr="005D0571" w:rsidRDefault="00357BF2" w:rsidP="00357BF2">
      <w:pPr>
        <w:pStyle w:val="Heading1"/>
        <w:rPr>
          <w:b/>
          <w:lang w:val="en-US"/>
        </w:rPr>
      </w:pPr>
      <w:r w:rsidRPr="005D0571">
        <w:rPr>
          <w:b/>
          <w:lang w:val="en-US"/>
        </w:rPr>
        <w:t>OBSERVING SYSTEMS FOR SURFACE FLUXES AND RELATED PARAMETERS</w:t>
      </w:r>
    </w:p>
    <w:p w14:paraId="5780D5FF" w14:textId="2CF2DE73" w:rsidR="00AD1E40" w:rsidRDefault="00357BF2" w:rsidP="00AD1E40">
      <w:pPr>
        <w:rPr>
          <w:color w:val="000000"/>
          <w:lang w:val="en-US"/>
        </w:rPr>
      </w:pPr>
      <w:r w:rsidRPr="005D0571">
        <w:rPr>
          <w:lang w:val="en-US"/>
        </w:rPr>
        <w:t xml:space="preserve">The surface flux observing system uses instruments mounted on moorings, ships and satellites. </w:t>
      </w:r>
      <w:r w:rsidR="008C15EE">
        <w:rPr>
          <w:lang w:val="en-US"/>
        </w:rPr>
        <w:t>R</w:t>
      </w:r>
      <w:r w:rsidRPr="005D0571">
        <w:rPr>
          <w:lang w:val="en-US"/>
        </w:rPr>
        <w:t>adiative and precipitation fluxes are usually measured directly</w:t>
      </w:r>
      <w:r w:rsidR="006B0B84">
        <w:rPr>
          <w:lang w:val="en-US"/>
        </w:rPr>
        <w:t xml:space="preserve">.  </w:t>
      </w:r>
      <w:r w:rsidR="006B0B84" w:rsidRPr="005D0571">
        <w:rPr>
          <w:color w:val="000000"/>
          <w:lang w:val="en-US"/>
        </w:rPr>
        <w:lastRenderedPageBreak/>
        <w:t>Precipitation is difficult to sample because of its</w:t>
      </w:r>
      <w:r w:rsidR="006B0B84">
        <w:rPr>
          <w:color w:val="000000"/>
          <w:lang w:val="en-US"/>
        </w:rPr>
        <w:t xml:space="preserve"> </w:t>
      </w:r>
      <w:r w:rsidR="006B0B84" w:rsidRPr="005D0571">
        <w:rPr>
          <w:color w:val="000000"/>
          <w:lang w:val="en-US"/>
        </w:rPr>
        <w:t xml:space="preserve">patchiness, only remote sensing methods (surface-based radars and/or satellites) offer any spatial coverage at short time scales. </w:t>
      </w:r>
      <w:r w:rsidR="006B0B84">
        <w:rPr>
          <w:color w:val="000000"/>
          <w:lang w:val="en-US"/>
        </w:rPr>
        <w:t xml:space="preserve"> </w:t>
      </w:r>
      <w:r w:rsidR="008C15EE">
        <w:rPr>
          <w:lang w:val="en-US"/>
        </w:rPr>
        <w:t xml:space="preserve">With some exceptions, turbulent </w:t>
      </w:r>
      <w:r w:rsidRPr="005D0571">
        <w:rPr>
          <w:lang w:val="en-US"/>
        </w:rPr>
        <w:t>fluxes are computed from meteorological variables using bulk f</w:t>
      </w:r>
      <w:r w:rsidR="008C15EE">
        <w:rPr>
          <w:lang w:val="en-US"/>
        </w:rPr>
        <w:t>lux algorithms with roughly double</w:t>
      </w:r>
      <w:r w:rsidRPr="005D0571">
        <w:rPr>
          <w:lang w:val="en-US"/>
        </w:rPr>
        <w:t xml:space="preserve"> the </w:t>
      </w:r>
      <w:r w:rsidR="008C15EE">
        <w:rPr>
          <w:lang w:val="en-US"/>
        </w:rPr>
        <w:t>uncertainty</w:t>
      </w:r>
      <w:r w:rsidRPr="005D0571">
        <w:rPr>
          <w:lang w:val="en-US"/>
        </w:rPr>
        <w:t xml:space="preserve"> of directly-measured fluxes.</w:t>
      </w:r>
      <w:r w:rsidR="008C15EE">
        <w:rPr>
          <w:lang w:val="en-US"/>
        </w:rPr>
        <w:t xml:space="preserve">  Instruments and accuracies for various methods are described in [1</w:t>
      </w:r>
      <w:r w:rsidR="008C15EE">
        <w:rPr>
          <w:color w:val="000000"/>
          <w:lang w:val="en-US"/>
        </w:rPr>
        <w:t>].</w:t>
      </w:r>
      <w:r w:rsidR="00AD1E40">
        <w:rPr>
          <w:color w:val="000000"/>
          <w:lang w:val="en-US"/>
        </w:rPr>
        <w:t xml:space="preserve">  The components of the observing system are:</w:t>
      </w:r>
    </w:p>
    <w:p w14:paraId="049E7CCB" w14:textId="77777777" w:rsidR="006B0B84" w:rsidRDefault="006B0B84" w:rsidP="00AD1E40">
      <w:pPr>
        <w:rPr>
          <w:color w:val="000000"/>
          <w:lang w:val="en-US"/>
        </w:rPr>
      </w:pPr>
    </w:p>
    <w:p w14:paraId="4F263377" w14:textId="4B32F119" w:rsidR="00AD1E40" w:rsidRDefault="00AD1E40" w:rsidP="00AD1E40">
      <w:pPr>
        <w:rPr>
          <w:color w:val="000000"/>
          <w:lang w:val="en-US"/>
        </w:rPr>
      </w:pPr>
      <w:proofErr w:type="spellStart"/>
      <w:r w:rsidRPr="005D0571">
        <w:rPr>
          <w:b/>
          <w:lang w:val="en-US"/>
        </w:rPr>
        <w:t>OceanSITES</w:t>
      </w:r>
      <w:proofErr w:type="spellEnd"/>
      <w:r>
        <w:rPr>
          <w:b/>
          <w:lang w:val="en-US"/>
        </w:rPr>
        <w:t xml:space="preserve">: </w:t>
      </w:r>
      <w:r>
        <w:rPr>
          <w:lang w:val="en-US"/>
        </w:rPr>
        <w:t xml:space="preserve">A centralized database of </w:t>
      </w:r>
      <w:r w:rsidR="001B1D7B">
        <w:rPr>
          <w:lang w:val="en-US"/>
        </w:rPr>
        <w:t>high-qual</w:t>
      </w:r>
      <w:r>
        <w:rPr>
          <w:lang w:val="en-US"/>
        </w:rPr>
        <w:t>i</w:t>
      </w:r>
      <w:r w:rsidR="001B1D7B">
        <w:rPr>
          <w:lang w:val="en-US"/>
        </w:rPr>
        <w:t>t</w:t>
      </w:r>
      <w:r>
        <w:rPr>
          <w:lang w:val="en-US"/>
        </w:rPr>
        <w:t xml:space="preserve">y </w:t>
      </w:r>
      <w:r w:rsidR="00357BF2" w:rsidRPr="005D0571">
        <w:rPr>
          <w:color w:val="000000"/>
          <w:lang w:val="en-US"/>
        </w:rPr>
        <w:t>surface moorings</w:t>
      </w:r>
      <w:r w:rsidR="006F2DAF">
        <w:rPr>
          <w:color w:val="000000"/>
          <w:lang w:val="en-US"/>
        </w:rPr>
        <w:t xml:space="preserve"> including Ocean Reference Stations [</w:t>
      </w:r>
      <w:r w:rsidR="00125F62" w:rsidRPr="00125F62">
        <w:rPr>
          <w:color w:val="000000"/>
          <w:lang w:val="en-US"/>
        </w:rPr>
        <w:t>http://www.oceansites.org/</w:t>
      </w:r>
      <w:r w:rsidR="006F2DAF">
        <w:rPr>
          <w:color w:val="000000"/>
          <w:lang w:val="en-US"/>
        </w:rPr>
        <w:t>].</w:t>
      </w:r>
    </w:p>
    <w:p w14:paraId="07912D28" w14:textId="23B900DC" w:rsidR="00AD1E40" w:rsidRDefault="00357BF2" w:rsidP="00AD1E40">
      <w:pPr>
        <w:rPr>
          <w:color w:val="000000"/>
          <w:lang w:val="en-US"/>
        </w:rPr>
      </w:pPr>
      <w:r w:rsidRPr="005D0571">
        <w:rPr>
          <w:b/>
          <w:lang w:val="en-US"/>
        </w:rPr>
        <w:t>Operational Buoys</w:t>
      </w:r>
      <w:r w:rsidR="00AD1E40">
        <w:rPr>
          <w:b/>
          <w:lang w:val="en-US"/>
        </w:rPr>
        <w:t xml:space="preserve">: </w:t>
      </w:r>
      <w:r w:rsidRPr="005D0571">
        <w:rPr>
          <w:color w:val="000000"/>
          <w:lang w:val="en-US"/>
        </w:rPr>
        <w:t>International cooperation now maintains tropical moorings (TAO/TRITON</w:t>
      </w:r>
      <w:r w:rsidR="001B1D7B">
        <w:rPr>
          <w:color w:val="000000"/>
          <w:lang w:val="en-US"/>
        </w:rPr>
        <w:t xml:space="preserve">, RAMA, </w:t>
      </w:r>
      <w:r w:rsidR="00125F62">
        <w:rPr>
          <w:color w:val="000000"/>
          <w:lang w:val="en-US"/>
        </w:rPr>
        <w:t>PIRATA, [5</w:t>
      </w:r>
      <w:r w:rsidRPr="005D0571">
        <w:rPr>
          <w:color w:val="000000"/>
          <w:lang w:val="en-US"/>
        </w:rPr>
        <w:t xml:space="preserve">]). All surface moorings carry basic meteorological sensors to support determination of the </w:t>
      </w:r>
      <w:r w:rsidR="002247C5">
        <w:rPr>
          <w:color w:val="000000"/>
          <w:lang w:val="en-US"/>
        </w:rPr>
        <w:t xml:space="preserve">turbulent </w:t>
      </w:r>
      <w:r w:rsidRPr="005D0571">
        <w:rPr>
          <w:color w:val="000000"/>
          <w:lang w:val="en-US"/>
        </w:rPr>
        <w:t>air-sea fluxes of heat, freshwater, and momentum via the bulk formulae methods; many also carry barometric pressure, rain, and solar flux sensors</w:t>
      </w:r>
      <w:r w:rsidR="00AD1E40">
        <w:rPr>
          <w:color w:val="000000"/>
          <w:lang w:val="en-US"/>
        </w:rPr>
        <w:t>.</w:t>
      </w:r>
    </w:p>
    <w:p w14:paraId="677E1199" w14:textId="77777777" w:rsidR="0033623F" w:rsidRDefault="006B0B84" w:rsidP="00AD1E40">
      <w:pPr>
        <w:rPr>
          <w:color w:val="000000"/>
          <w:lang w:val="en-US"/>
        </w:rPr>
      </w:pPr>
      <w:r>
        <w:rPr>
          <w:b/>
          <w:noProof/>
          <w:lang w:val="en-US"/>
        </w:rPr>
        <w:drawing>
          <wp:inline distT="0" distB="0" distL="0" distR="0" wp14:anchorId="15BA2F8D" wp14:editId="7CDEEE09">
            <wp:extent cx="2950893" cy="2184400"/>
            <wp:effectExtent l="0" t="0" r="0" b="0"/>
            <wp:docPr id="6" name="Picture 6" descr="CURRENT_sa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RRENT_sat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63880" cy="2194014"/>
                    </a:xfrm>
                    <a:prstGeom prst="rect">
                      <a:avLst/>
                    </a:prstGeom>
                    <a:noFill/>
                    <a:ln>
                      <a:noFill/>
                    </a:ln>
                  </pic:spPr>
                </pic:pic>
              </a:graphicData>
            </a:graphic>
          </wp:inline>
        </w:drawing>
      </w:r>
    </w:p>
    <w:p w14:paraId="6A761204" w14:textId="77777777" w:rsidR="0033623F" w:rsidRDefault="0033623F" w:rsidP="00AD1E40">
      <w:pPr>
        <w:rPr>
          <w:color w:val="000000"/>
          <w:lang w:val="en-US"/>
        </w:rPr>
      </w:pPr>
    </w:p>
    <w:p w14:paraId="4E9E11D2" w14:textId="77777777" w:rsidR="0033623F" w:rsidRPr="005D0571" w:rsidRDefault="0033623F" w:rsidP="0033623F">
      <w:pPr>
        <w:spacing w:after="120"/>
        <w:jc w:val="center"/>
        <w:rPr>
          <w:i/>
          <w:lang w:val="en-US"/>
        </w:rPr>
      </w:pPr>
      <w:r w:rsidRPr="005D0571">
        <w:rPr>
          <w:i/>
          <w:lang w:val="en-US"/>
        </w:rPr>
        <w:t xml:space="preserve">Figure </w:t>
      </w:r>
      <w:r w:rsidR="00A678AF">
        <w:rPr>
          <w:i/>
          <w:lang w:val="en-US"/>
        </w:rPr>
        <w:t>2</w:t>
      </w:r>
      <w:r w:rsidRPr="005D0571">
        <w:rPr>
          <w:i/>
          <w:lang w:val="en-US"/>
        </w:rPr>
        <w:t xml:space="preserve">: Global map of flux reference </w:t>
      </w:r>
      <w:r>
        <w:rPr>
          <w:i/>
          <w:lang w:val="en-US"/>
        </w:rPr>
        <w:t>sites</w:t>
      </w:r>
      <w:r w:rsidRPr="005D0571">
        <w:rPr>
          <w:i/>
          <w:lang w:val="en-US"/>
        </w:rPr>
        <w:t>.</w:t>
      </w:r>
    </w:p>
    <w:p w14:paraId="211E947C" w14:textId="77777777" w:rsidR="0033623F" w:rsidRDefault="0033623F" w:rsidP="00AD1E40">
      <w:pPr>
        <w:rPr>
          <w:color w:val="000000"/>
          <w:lang w:val="en-US"/>
        </w:rPr>
      </w:pPr>
    </w:p>
    <w:p w14:paraId="2D3321CE" w14:textId="79DAFF64" w:rsidR="00AD1E40" w:rsidRDefault="00357BF2" w:rsidP="00AD1E40">
      <w:pPr>
        <w:rPr>
          <w:color w:val="000000"/>
          <w:lang w:val="en-US"/>
        </w:rPr>
      </w:pPr>
      <w:r w:rsidRPr="005D0571">
        <w:rPr>
          <w:b/>
          <w:lang w:val="en-US"/>
        </w:rPr>
        <w:t>Voluntary Observing Ships (VOS)</w:t>
      </w:r>
      <w:r w:rsidR="00AD1E40">
        <w:rPr>
          <w:b/>
          <w:lang w:val="en-US"/>
        </w:rPr>
        <w:t xml:space="preserve">: </w:t>
      </w:r>
      <w:r w:rsidRPr="005D0571">
        <w:rPr>
          <w:color w:val="000000"/>
          <w:lang w:val="en-US"/>
        </w:rPr>
        <w:t>The multi-decadal record from VOS contains parameters from which all components of the heat bud</w:t>
      </w:r>
      <w:r w:rsidR="006F2DAF">
        <w:rPr>
          <w:color w:val="000000"/>
          <w:lang w:val="en-US"/>
        </w:rPr>
        <w:t>get and precipitation can be estimat</w:t>
      </w:r>
      <w:r w:rsidR="00AD1E40">
        <w:rPr>
          <w:color w:val="000000"/>
          <w:lang w:val="en-US"/>
        </w:rPr>
        <w:t>ed</w:t>
      </w:r>
      <w:r w:rsidR="00F52CCA">
        <w:rPr>
          <w:color w:val="000000"/>
          <w:lang w:val="en-US"/>
        </w:rPr>
        <w:t xml:space="preserve"> [6]</w:t>
      </w:r>
      <w:r w:rsidR="00AD1E40">
        <w:rPr>
          <w:color w:val="000000"/>
          <w:lang w:val="en-US"/>
        </w:rPr>
        <w:t xml:space="preserve">.  </w:t>
      </w:r>
    </w:p>
    <w:p w14:paraId="1DA49DA0" w14:textId="2CB09E78" w:rsidR="00DB0D9A" w:rsidRDefault="00357BF2" w:rsidP="00AD1E40">
      <w:pPr>
        <w:rPr>
          <w:color w:val="000000"/>
          <w:lang w:val="en-US"/>
        </w:rPr>
      </w:pPr>
      <w:r w:rsidRPr="005D0571">
        <w:rPr>
          <w:b/>
          <w:lang w:val="en-US"/>
        </w:rPr>
        <w:t>Research Vessels (RVs)</w:t>
      </w:r>
      <w:r w:rsidR="00AD1E40">
        <w:rPr>
          <w:b/>
          <w:lang w:val="en-US"/>
        </w:rPr>
        <w:t xml:space="preserve">: </w:t>
      </w:r>
      <w:r w:rsidR="001B1D7B" w:rsidRPr="001B1D7B">
        <w:rPr>
          <w:lang w:val="en-US"/>
        </w:rPr>
        <w:t>F</w:t>
      </w:r>
      <w:r w:rsidRPr="005D0571">
        <w:rPr>
          <w:color w:val="000000"/>
          <w:lang w:val="en-US"/>
        </w:rPr>
        <w:t xml:space="preserve">ollowing OceanObs99 routine underway data collection efforts </w:t>
      </w:r>
      <w:r w:rsidR="001B1D7B">
        <w:rPr>
          <w:color w:val="000000"/>
          <w:lang w:val="en-US"/>
        </w:rPr>
        <w:t xml:space="preserve">from RVs </w:t>
      </w:r>
      <w:r w:rsidRPr="005D0571">
        <w:rPr>
          <w:color w:val="000000"/>
          <w:lang w:val="en-US"/>
        </w:rPr>
        <w:t>have begun with the establish</w:t>
      </w:r>
      <w:r w:rsidR="00F52CCA">
        <w:rPr>
          <w:color w:val="000000"/>
          <w:lang w:val="en-US"/>
        </w:rPr>
        <w:t>ment of the SAMOS initiative [</w:t>
      </w:r>
      <w:r w:rsidR="00F52CCA" w:rsidRPr="00F52CCA">
        <w:rPr>
          <w:color w:val="000000"/>
          <w:lang w:val="en-US"/>
        </w:rPr>
        <w:t>http://samos.coaps.fsu.edu/html/</w:t>
      </w:r>
      <w:r w:rsidR="00F52CCA">
        <w:rPr>
          <w:color w:val="000000"/>
          <w:lang w:val="en-US"/>
        </w:rPr>
        <w:t xml:space="preserve">] </w:t>
      </w:r>
      <w:r w:rsidRPr="005D0571">
        <w:rPr>
          <w:color w:val="000000"/>
          <w:lang w:val="en-US"/>
        </w:rPr>
        <w:t>provide a versatile platform for flux measurement including gases and particles</w:t>
      </w:r>
      <w:r w:rsidR="00F52CCA">
        <w:rPr>
          <w:color w:val="000000"/>
          <w:lang w:val="en-US"/>
        </w:rPr>
        <w:t xml:space="preserve"> [7]</w:t>
      </w:r>
      <w:r w:rsidRPr="005D0571">
        <w:rPr>
          <w:color w:val="000000"/>
          <w:lang w:val="en-US"/>
        </w:rPr>
        <w:t xml:space="preserve">. </w:t>
      </w:r>
    </w:p>
    <w:p w14:paraId="4F3FC908" w14:textId="77777777" w:rsidR="00357BF2" w:rsidRPr="005D0571" w:rsidRDefault="00357BF2" w:rsidP="00AD1E40">
      <w:pPr>
        <w:rPr>
          <w:b/>
          <w:lang w:val="en-US"/>
        </w:rPr>
      </w:pPr>
      <w:r w:rsidRPr="005D0571">
        <w:rPr>
          <w:b/>
          <w:lang w:val="en-US"/>
        </w:rPr>
        <w:t>Remotely sensed data</w:t>
      </w:r>
      <w:r w:rsidR="00AD1E40">
        <w:rPr>
          <w:b/>
          <w:lang w:val="en-US"/>
        </w:rPr>
        <w:t>:</w:t>
      </w:r>
    </w:p>
    <w:p w14:paraId="5D1023CD" w14:textId="227C1BC1" w:rsidR="00357BF2" w:rsidRDefault="00357BF2" w:rsidP="00357BF2">
      <w:pPr>
        <w:rPr>
          <w:color w:val="000000"/>
          <w:lang w:val="en-US"/>
        </w:rPr>
      </w:pPr>
      <w:r w:rsidRPr="005D0571">
        <w:rPr>
          <w:color w:val="000000"/>
          <w:lang w:val="en-US"/>
        </w:rPr>
        <w:t>Turbulent fluxes are estimated from remotely sensed atmospheric parameters using bulk parameterizations [</w:t>
      </w:r>
      <w:r w:rsidR="00F52CCA">
        <w:rPr>
          <w:color w:val="000000"/>
          <w:lang w:val="en-US"/>
        </w:rPr>
        <w:t>8]</w:t>
      </w:r>
      <w:r w:rsidRPr="005D0571">
        <w:rPr>
          <w:color w:val="000000"/>
          <w:lang w:val="en-US"/>
        </w:rPr>
        <w:t>. The most mature satellite algorithms are for SST and vector an</w:t>
      </w:r>
      <w:r w:rsidR="00F52CCA">
        <w:rPr>
          <w:color w:val="000000"/>
          <w:lang w:val="en-US"/>
        </w:rPr>
        <w:t>d scalar wind speeds and stress</w:t>
      </w:r>
      <w:r w:rsidRPr="005D0571">
        <w:rPr>
          <w:color w:val="000000"/>
          <w:lang w:val="en-US"/>
        </w:rPr>
        <w:t xml:space="preserve">. </w:t>
      </w:r>
      <w:r>
        <w:rPr>
          <w:color w:val="000000"/>
          <w:lang w:val="en-US"/>
        </w:rPr>
        <w:t>New methods of</w:t>
      </w:r>
      <w:r w:rsidRPr="005D0571">
        <w:rPr>
          <w:color w:val="000000"/>
          <w:lang w:val="en-US"/>
        </w:rPr>
        <w:t xml:space="preserve"> estimation of near-surface humidity and temperature sho</w:t>
      </w:r>
      <w:r w:rsidR="00F52CCA">
        <w:rPr>
          <w:color w:val="000000"/>
          <w:lang w:val="en-US"/>
        </w:rPr>
        <w:t>w important improvements [8</w:t>
      </w:r>
      <w:r w:rsidRPr="005D0571">
        <w:rPr>
          <w:color w:val="000000"/>
          <w:lang w:val="en-US"/>
        </w:rPr>
        <w:t xml:space="preserve">]. Satellite based estimates of surface radiative fluxes use measurements of top-of-the-atmosphere radiation and </w:t>
      </w:r>
      <w:r w:rsidRPr="005D0571">
        <w:rPr>
          <w:color w:val="000000"/>
          <w:lang w:val="en-US"/>
        </w:rPr>
        <w:lastRenderedPageBreak/>
        <w:t xml:space="preserve">cloud measurements with radiative transfer models from a variety of polar-orbiting and geostationary satellites. </w:t>
      </w:r>
    </w:p>
    <w:p w14:paraId="4FDA78C8" w14:textId="77777777" w:rsidR="00AA1ED0" w:rsidRDefault="00AA1ED0" w:rsidP="00357BF2">
      <w:pPr>
        <w:rPr>
          <w:color w:val="000000"/>
          <w:lang w:val="en-US"/>
        </w:rPr>
      </w:pPr>
    </w:p>
    <w:p w14:paraId="4F3A5EE4" w14:textId="77777777" w:rsidR="00357BF2" w:rsidRPr="005D0571" w:rsidRDefault="00357BF2" w:rsidP="00357BF2">
      <w:pPr>
        <w:pStyle w:val="Heading1"/>
        <w:rPr>
          <w:b/>
          <w:lang w:val="en-US"/>
        </w:rPr>
      </w:pPr>
      <w:r w:rsidRPr="005D0571">
        <w:rPr>
          <w:b/>
          <w:lang w:val="en-US"/>
        </w:rPr>
        <w:t>FLUX PRODUCTS</w:t>
      </w:r>
      <w:r>
        <w:rPr>
          <w:b/>
          <w:lang w:val="en-US"/>
        </w:rPr>
        <w:t xml:space="preserve"> </w:t>
      </w:r>
    </w:p>
    <w:p w14:paraId="0D572E7E" w14:textId="77777777" w:rsidR="00357BF2" w:rsidRPr="005D0571" w:rsidRDefault="00357BF2" w:rsidP="00AA1ED0">
      <w:pPr>
        <w:pStyle w:val="Heading1"/>
        <w:numPr>
          <w:ilvl w:val="1"/>
          <w:numId w:val="22"/>
        </w:numPr>
        <w:spacing w:after="0"/>
        <w:rPr>
          <w:b/>
          <w:lang w:val="en-US"/>
        </w:rPr>
      </w:pPr>
      <w:r w:rsidRPr="005D0571">
        <w:rPr>
          <w:b/>
          <w:lang w:val="en-US"/>
        </w:rPr>
        <w:t xml:space="preserve"> Gridded </w:t>
      </w:r>
      <w:r w:rsidRPr="005D0571">
        <w:rPr>
          <w:b/>
          <w:i/>
          <w:lang w:val="en-US"/>
        </w:rPr>
        <w:t>In situ</w:t>
      </w:r>
      <w:r w:rsidRPr="005D0571">
        <w:rPr>
          <w:b/>
          <w:lang w:val="en-US"/>
        </w:rPr>
        <w:t xml:space="preserve"> Datasets</w:t>
      </w:r>
    </w:p>
    <w:p w14:paraId="649F4D32" w14:textId="19AFE244" w:rsidR="00357BF2" w:rsidRDefault="00357BF2" w:rsidP="00AA1ED0">
      <w:pPr>
        <w:rPr>
          <w:lang w:val="en-US"/>
        </w:rPr>
      </w:pPr>
      <w:r w:rsidRPr="005D0571">
        <w:rPr>
          <w:lang w:val="en-US"/>
        </w:rPr>
        <w:t>Multi-decadal flux datasets have been based on VOS observations in the International Comprehensive Ocean-Atmos</w:t>
      </w:r>
      <w:r w:rsidR="00125F62">
        <w:rPr>
          <w:lang w:val="en-US"/>
        </w:rPr>
        <w:t>phere Dataset (ICOADS, [6</w:t>
      </w:r>
      <w:r w:rsidRPr="005D0571">
        <w:rPr>
          <w:lang w:val="en-US"/>
        </w:rPr>
        <w:t xml:space="preserve">]). </w:t>
      </w:r>
    </w:p>
    <w:p w14:paraId="4E61648F" w14:textId="77777777" w:rsidR="00FD311A" w:rsidRPr="005D0571" w:rsidRDefault="00FD311A" w:rsidP="00357BF2">
      <w:pPr>
        <w:rPr>
          <w:color w:val="000000"/>
          <w:lang w:val="en-US"/>
        </w:rPr>
      </w:pPr>
    </w:p>
    <w:p w14:paraId="095BA349" w14:textId="77777777" w:rsidR="00357BF2" w:rsidRPr="005D0571" w:rsidRDefault="00357BF2" w:rsidP="00AA1ED0">
      <w:pPr>
        <w:pStyle w:val="Heading1"/>
        <w:numPr>
          <w:ilvl w:val="1"/>
          <w:numId w:val="22"/>
        </w:numPr>
        <w:spacing w:after="0"/>
        <w:rPr>
          <w:b/>
          <w:lang w:val="en-US"/>
        </w:rPr>
      </w:pPr>
      <w:r w:rsidRPr="005D0571">
        <w:rPr>
          <w:b/>
          <w:lang w:val="en-US"/>
        </w:rPr>
        <w:t>Satellite Data Products</w:t>
      </w:r>
    </w:p>
    <w:p w14:paraId="1B93D920" w14:textId="0E417E7A" w:rsidR="00357BF2" w:rsidRPr="005D0571" w:rsidRDefault="00357BF2" w:rsidP="00AA1ED0">
      <w:pPr>
        <w:rPr>
          <w:color w:val="000000"/>
          <w:lang w:val="en-US"/>
        </w:rPr>
      </w:pPr>
      <w:r w:rsidRPr="005D0571">
        <w:rPr>
          <w:color w:val="000000"/>
          <w:lang w:val="en-US"/>
        </w:rPr>
        <w:t>Satellites provide good quality estimates of surface stress and radiation for recent decades. However sampling is irregular in space and time, resulting in spatially and temporally v</w:t>
      </w:r>
      <w:r w:rsidR="00AA1ED0">
        <w:rPr>
          <w:color w:val="000000"/>
          <w:lang w:val="en-US"/>
        </w:rPr>
        <w:t>arying error characteristics [</w:t>
      </w:r>
      <w:r w:rsidR="00F52CCA">
        <w:rPr>
          <w:color w:val="000000"/>
          <w:lang w:val="en-US"/>
        </w:rPr>
        <w:t>9,10</w:t>
      </w:r>
      <w:r w:rsidR="00AA1ED0">
        <w:rPr>
          <w:color w:val="000000"/>
          <w:lang w:val="en-US"/>
        </w:rPr>
        <w:t>,11</w:t>
      </w:r>
      <w:r w:rsidRPr="005D0571">
        <w:rPr>
          <w:color w:val="000000"/>
          <w:lang w:val="en-US"/>
        </w:rPr>
        <w:t xml:space="preserve">] and irregular representation of fine synoptic scale variability. </w:t>
      </w:r>
      <w:r w:rsidR="00BC7362">
        <w:rPr>
          <w:color w:val="000000"/>
          <w:lang w:val="en-US"/>
        </w:rPr>
        <w:t xml:space="preserve">  </w:t>
      </w:r>
      <w:r w:rsidRPr="005D0571">
        <w:rPr>
          <w:color w:val="000000"/>
          <w:lang w:val="en-US"/>
        </w:rPr>
        <w:t xml:space="preserve">Gridded surface sensible and latent heat flux products </w:t>
      </w:r>
      <w:r w:rsidR="00531E7D">
        <w:rPr>
          <w:color w:val="000000"/>
          <w:lang w:val="en-US"/>
        </w:rPr>
        <w:t>from several sources were compared</w:t>
      </w:r>
      <w:r w:rsidRPr="005D0571">
        <w:rPr>
          <w:color w:val="000000"/>
          <w:lang w:val="en-US"/>
        </w:rPr>
        <w:t xml:space="preserve"> </w:t>
      </w:r>
      <w:r w:rsidR="00A3137D" w:rsidRPr="005D0571">
        <w:rPr>
          <w:color w:val="000000"/>
          <w:lang w:val="en-US"/>
        </w:rPr>
        <w:t xml:space="preserve">with </w:t>
      </w:r>
      <w:r w:rsidR="00A3137D" w:rsidRPr="005D0571">
        <w:rPr>
          <w:i/>
          <w:color w:val="000000"/>
          <w:lang w:val="en-US"/>
        </w:rPr>
        <w:t>in situ</w:t>
      </w:r>
      <w:r w:rsidR="00A3137D" w:rsidRPr="005D0571">
        <w:rPr>
          <w:color w:val="000000"/>
          <w:lang w:val="en-US"/>
        </w:rPr>
        <w:t xml:space="preserve"> direct flux measurements </w:t>
      </w:r>
      <w:r w:rsidRPr="005D0571">
        <w:rPr>
          <w:color w:val="000000"/>
          <w:lang w:val="en-US"/>
        </w:rPr>
        <w:t xml:space="preserve">by the </w:t>
      </w:r>
      <w:proofErr w:type="spellStart"/>
      <w:r w:rsidRPr="005D0571">
        <w:rPr>
          <w:color w:val="000000"/>
          <w:lang w:val="en-US"/>
        </w:rPr>
        <w:t>SeaFlux</w:t>
      </w:r>
      <w:proofErr w:type="spellEnd"/>
      <w:r w:rsidRPr="005D0571">
        <w:rPr>
          <w:color w:val="000000"/>
          <w:lang w:val="en-US"/>
        </w:rPr>
        <w:t xml:space="preserve"> project</w:t>
      </w:r>
      <w:r w:rsidR="00056B46">
        <w:rPr>
          <w:color w:val="000000"/>
          <w:lang w:val="en-US"/>
        </w:rPr>
        <w:t xml:space="preserve"> [</w:t>
      </w:r>
      <w:r w:rsidRPr="005D0571">
        <w:rPr>
          <w:color w:val="000000"/>
          <w:lang w:val="en-US"/>
        </w:rPr>
        <w:t>4]</w:t>
      </w:r>
      <w:r w:rsidR="00A3137D">
        <w:rPr>
          <w:color w:val="000000"/>
          <w:lang w:val="en-US"/>
        </w:rPr>
        <w:t>;</w:t>
      </w:r>
      <w:r w:rsidRPr="005D0571">
        <w:rPr>
          <w:color w:val="000000"/>
          <w:lang w:val="en-US"/>
        </w:rPr>
        <w:t xml:space="preserve"> uncertainties are </w:t>
      </w:r>
      <w:r w:rsidR="00056B46">
        <w:rPr>
          <w:color w:val="000000"/>
          <w:lang w:val="en-US"/>
        </w:rPr>
        <w:t>on the order of</w:t>
      </w:r>
      <w:r w:rsidRPr="005D0571">
        <w:rPr>
          <w:color w:val="000000"/>
          <w:lang w:val="en-US"/>
        </w:rPr>
        <w:t xml:space="preserve"> 20 Wm</w:t>
      </w:r>
      <w:r w:rsidRPr="005D0571">
        <w:rPr>
          <w:color w:val="000000"/>
          <w:vertAlign w:val="superscript"/>
          <w:lang w:val="en-US"/>
        </w:rPr>
        <w:t>-2</w:t>
      </w:r>
      <w:r w:rsidRPr="005D0571">
        <w:rPr>
          <w:color w:val="000000"/>
          <w:lang w:val="en-US"/>
        </w:rPr>
        <w:t xml:space="preserve">. </w:t>
      </w:r>
    </w:p>
    <w:p w14:paraId="11FD5D8B" w14:textId="1B93423A" w:rsidR="00A678AF" w:rsidRDefault="00357BF2" w:rsidP="00357BF2">
      <w:pPr>
        <w:rPr>
          <w:color w:val="000000"/>
          <w:lang w:val="en-US"/>
        </w:rPr>
      </w:pPr>
      <w:r w:rsidRPr="005D0571">
        <w:rPr>
          <w:color w:val="000000"/>
          <w:lang w:val="en-US"/>
        </w:rPr>
        <w:t xml:space="preserve">The International Satellite Cloud </w:t>
      </w:r>
      <w:r w:rsidR="00BF5A2A">
        <w:rPr>
          <w:color w:val="000000"/>
          <w:lang w:val="en-US"/>
        </w:rPr>
        <w:t>Climatology Project (ISCCP</w:t>
      </w:r>
      <w:r w:rsidRPr="005D0571">
        <w:rPr>
          <w:color w:val="000000"/>
          <w:lang w:val="en-US"/>
        </w:rPr>
        <w:t xml:space="preserve">) </w:t>
      </w:r>
      <w:r>
        <w:rPr>
          <w:color w:val="000000"/>
          <w:lang w:val="en-US"/>
        </w:rPr>
        <w:t xml:space="preserve">and the NASA/GEWEX Surface Radiation Budget (SRB) </w:t>
      </w:r>
      <w:r w:rsidRPr="005D0571">
        <w:rPr>
          <w:color w:val="000000"/>
          <w:lang w:val="en-US"/>
        </w:rPr>
        <w:t>provide solar and IR radiative surface fluxes for the period 1983 to 200</w:t>
      </w:r>
      <w:r>
        <w:rPr>
          <w:color w:val="000000"/>
          <w:lang w:val="en-US"/>
        </w:rPr>
        <w:t>7 and beyond</w:t>
      </w:r>
      <w:r w:rsidRPr="005D0571">
        <w:rPr>
          <w:color w:val="000000"/>
          <w:lang w:val="en-US"/>
        </w:rPr>
        <w:t xml:space="preserve"> from </w:t>
      </w:r>
      <w:r w:rsidRPr="005D0571" w:rsidDel="003B0F1D">
        <w:rPr>
          <w:color w:val="000000"/>
          <w:lang w:val="en-US"/>
        </w:rPr>
        <w:t>GOES</w:t>
      </w:r>
      <w:r w:rsidRPr="005D0571">
        <w:rPr>
          <w:color w:val="000000"/>
          <w:lang w:val="en-US"/>
        </w:rPr>
        <w:t xml:space="preserve"> satellites. Quality declines </w:t>
      </w:r>
      <w:r>
        <w:rPr>
          <w:color w:val="000000"/>
          <w:lang w:val="en-US"/>
        </w:rPr>
        <w:t>at high latitudes</w:t>
      </w:r>
      <w:r w:rsidR="0048384A">
        <w:rPr>
          <w:color w:val="000000"/>
          <w:lang w:val="en-US"/>
        </w:rPr>
        <w:t xml:space="preserve"> and there appears to be</w:t>
      </w:r>
      <w:r>
        <w:rPr>
          <w:color w:val="000000"/>
          <w:lang w:val="en-US"/>
        </w:rPr>
        <w:t xml:space="preserve"> artifacts in time series due to change</w:t>
      </w:r>
      <w:r w:rsidR="00A84502">
        <w:rPr>
          <w:color w:val="000000"/>
          <w:lang w:val="en-US"/>
        </w:rPr>
        <w:t>s</w:t>
      </w:r>
      <w:r>
        <w:rPr>
          <w:color w:val="000000"/>
          <w:lang w:val="en-US"/>
        </w:rPr>
        <w:t xml:space="preserve"> to satellite platforms, indicating calibration </w:t>
      </w:r>
      <w:r w:rsidR="000264C0">
        <w:rPr>
          <w:color w:val="000000"/>
          <w:lang w:val="en-US"/>
        </w:rPr>
        <w:t>problems</w:t>
      </w:r>
      <w:r w:rsidRPr="005D0571">
        <w:rPr>
          <w:color w:val="000000"/>
          <w:lang w:val="en-US"/>
        </w:rPr>
        <w:t xml:space="preserve">. </w:t>
      </w:r>
      <w:r w:rsidR="00531E7D" w:rsidRPr="00A3137D">
        <w:rPr>
          <w:i/>
          <w:color w:val="000000"/>
          <w:lang w:val="en-US"/>
        </w:rPr>
        <w:t>I</w:t>
      </w:r>
      <w:r w:rsidRPr="00A3137D">
        <w:rPr>
          <w:i/>
          <w:color w:val="000000"/>
          <w:lang w:val="en-US"/>
        </w:rPr>
        <w:t>n situ</w:t>
      </w:r>
      <w:r>
        <w:rPr>
          <w:color w:val="000000"/>
          <w:lang w:val="en-US"/>
        </w:rPr>
        <w:t xml:space="preserve"> measurements of surface radiative properties </w:t>
      </w:r>
      <w:r w:rsidR="00700826">
        <w:rPr>
          <w:color w:val="000000"/>
          <w:lang w:val="en-US"/>
        </w:rPr>
        <w:t xml:space="preserve">can be used to evaluate these issues, but </w:t>
      </w:r>
      <w:r>
        <w:rPr>
          <w:color w:val="000000"/>
          <w:lang w:val="en-US"/>
        </w:rPr>
        <w:t>are</w:t>
      </w:r>
      <w:r w:rsidR="00A678AF">
        <w:rPr>
          <w:color w:val="000000"/>
          <w:lang w:val="en-US"/>
        </w:rPr>
        <w:t xml:space="preserve"> </w:t>
      </w:r>
      <w:r>
        <w:rPr>
          <w:color w:val="000000"/>
          <w:lang w:val="en-US"/>
        </w:rPr>
        <w:t>limited</w:t>
      </w:r>
      <w:r w:rsidR="00700826">
        <w:rPr>
          <w:color w:val="000000"/>
          <w:lang w:val="en-US"/>
        </w:rPr>
        <w:t xml:space="preserve"> to lower latitudes.</w:t>
      </w:r>
      <w:r>
        <w:rPr>
          <w:color w:val="000000"/>
          <w:lang w:val="en-US"/>
        </w:rPr>
        <w:t xml:space="preserve"> </w:t>
      </w:r>
      <w:r w:rsidR="00700826">
        <w:rPr>
          <w:color w:val="000000"/>
          <w:lang w:val="en-US"/>
        </w:rPr>
        <w:t>E</w:t>
      </w:r>
      <w:r>
        <w:rPr>
          <w:color w:val="000000"/>
          <w:lang w:val="en-US"/>
        </w:rPr>
        <w:t>valuation</w:t>
      </w:r>
      <w:r w:rsidR="008E6286">
        <w:rPr>
          <w:color w:val="000000"/>
          <w:lang w:val="en-US"/>
        </w:rPr>
        <w:t>s</w:t>
      </w:r>
      <w:r>
        <w:rPr>
          <w:color w:val="000000"/>
          <w:lang w:val="en-US"/>
        </w:rPr>
        <w:t xml:space="preserve"> </w:t>
      </w:r>
      <w:r w:rsidR="00531E7D">
        <w:rPr>
          <w:color w:val="000000"/>
          <w:lang w:val="en-US"/>
        </w:rPr>
        <w:t>of downward</w:t>
      </w:r>
      <w:r>
        <w:rPr>
          <w:color w:val="000000"/>
          <w:lang w:val="en-US"/>
        </w:rPr>
        <w:t xml:space="preserve"> shortwave radiation at the available buoy sites </w:t>
      </w:r>
      <w:r w:rsidR="00BF5A2A">
        <w:rPr>
          <w:color w:val="000000"/>
          <w:lang w:val="en-US"/>
        </w:rPr>
        <w:t>are encouraging [12] but suggest</w:t>
      </w:r>
      <w:r>
        <w:rPr>
          <w:color w:val="000000"/>
          <w:lang w:val="en-US"/>
        </w:rPr>
        <w:t xml:space="preserve"> major departures in the tropical oceans</w:t>
      </w:r>
      <w:r w:rsidR="00F32072">
        <w:rPr>
          <w:color w:val="000000"/>
          <w:lang w:val="en-US"/>
        </w:rPr>
        <w:t xml:space="preserve"> (Fig. 3)</w:t>
      </w:r>
      <w:r>
        <w:rPr>
          <w:color w:val="000000"/>
          <w:lang w:val="en-US"/>
        </w:rPr>
        <w:t xml:space="preserve">. </w:t>
      </w:r>
      <w:r w:rsidR="00F32072">
        <w:rPr>
          <w:color w:val="000000"/>
          <w:lang w:val="en-US"/>
        </w:rPr>
        <w:t xml:space="preserve">It is clear from this figure that sampling is inadequate; IR flux has about </w:t>
      </w:r>
      <w:r w:rsidR="00F32072" w:rsidRPr="00ED1C65">
        <w:rPr>
          <w:color w:val="000000"/>
          <w:u w:val="single"/>
          <w:lang w:val="en-US"/>
        </w:rPr>
        <w:t>half</w:t>
      </w:r>
      <w:r w:rsidR="00F32072">
        <w:rPr>
          <w:color w:val="000000"/>
          <w:lang w:val="en-US"/>
        </w:rPr>
        <w:t xml:space="preserve"> this number of buoys. </w:t>
      </w:r>
    </w:p>
    <w:p w14:paraId="3FFA6AD3" w14:textId="15AA7702" w:rsidR="00A678AF" w:rsidRDefault="0048384A" w:rsidP="00357BF2">
      <w:pPr>
        <w:rPr>
          <w:color w:val="000000"/>
          <w:lang w:val="en-US"/>
        </w:rPr>
      </w:pPr>
      <w:r>
        <w:rPr>
          <w:noProof/>
          <w:color w:val="000000"/>
          <w:lang w:val="en-US"/>
        </w:rPr>
        <w:t xml:space="preserve">         </w:t>
      </w:r>
      <w:r w:rsidR="00707D35" w:rsidRPr="009E7EB9">
        <w:rPr>
          <w:noProof/>
          <w:color w:val="000000"/>
          <w:lang w:val="en-US"/>
        </w:rPr>
        <w:drawing>
          <wp:inline distT="0" distB="0" distL="0" distR="0" wp14:anchorId="78B3F70D" wp14:editId="2CC26581">
            <wp:extent cx="2880360" cy="20789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D_meandiff_buoy.eps"/>
                    <pic:cNvPicPr/>
                  </pic:nvPicPr>
                  <pic:blipFill>
                    <a:blip r:embed="rId22">
                      <a:extLst>
                        <a:ext uri="{28A0092B-C50C-407E-A947-70E740481C1C}">
                          <a14:useLocalDpi xmlns:a14="http://schemas.microsoft.com/office/drawing/2010/main" val="0"/>
                        </a:ext>
                      </a:extLst>
                    </a:blip>
                    <a:stretch>
                      <a:fillRect/>
                    </a:stretch>
                  </pic:blipFill>
                  <pic:spPr>
                    <a:xfrm>
                      <a:off x="0" y="0"/>
                      <a:ext cx="2880360" cy="2078990"/>
                    </a:xfrm>
                    <a:prstGeom prst="rect">
                      <a:avLst/>
                    </a:prstGeom>
                  </pic:spPr>
                </pic:pic>
              </a:graphicData>
            </a:graphic>
          </wp:inline>
        </w:drawing>
      </w:r>
    </w:p>
    <w:p w14:paraId="04E0E584" w14:textId="77777777" w:rsidR="00A678AF" w:rsidRDefault="00A678AF" w:rsidP="00357BF2">
      <w:pPr>
        <w:rPr>
          <w:color w:val="000000"/>
          <w:lang w:val="en-US"/>
        </w:rPr>
      </w:pPr>
    </w:p>
    <w:p w14:paraId="42D1A9A8" w14:textId="019DCD1D" w:rsidR="00A678AF" w:rsidRPr="005D0571" w:rsidRDefault="00A678AF" w:rsidP="00A678AF">
      <w:pPr>
        <w:spacing w:after="120"/>
        <w:jc w:val="center"/>
        <w:rPr>
          <w:i/>
          <w:lang w:val="en-US"/>
        </w:rPr>
      </w:pPr>
      <w:r w:rsidRPr="005D0571">
        <w:rPr>
          <w:i/>
          <w:lang w:val="en-US"/>
        </w:rPr>
        <w:t xml:space="preserve">Figure </w:t>
      </w:r>
      <w:r>
        <w:rPr>
          <w:i/>
          <w:lang w:val="en-US"/>
        </w:rPr>
        <w:t>3: Comparison of mean downward solar radiation satellite products with buoy observations for the last 20 years as a function of latitude: upper panel, mean difference; lower panel, number of buoy sites.</w:t>
      </w:r>
    </w:p>
    <w:p w14:paraId="00666E6C" w14:textId="77777777" w:rsidR="00F32072" w:rsidRDefault="00F32072" w:rsidP="00357BF2">
      <w:pPr>
        <w:rPr>
          <w:color w:val="000000"/>
          <w:lang w:val="en-US"/>
        </w:rPr>
      </w:pPr>
    </w:p>
    <w:p w14:paraId="74A6D749" w14:textId="79EB55F6" w:rsidR="00357BF2" w:rsidRPr="005D0571" w:rsidRDefault="00F32072" w:rsidP="00357BF2">
      <w:pPr>
        <w:rPr>
          <w:color w:val="000000"/>
          <w:lang w:val="en-US"/>
        </w:rPr>
      </w:pPr>
      <w:r w:rsidRPr="005D0571">
        <w:rPr>
          <w:color w:val="000000"/>
          <w:lang w:val="en-US"/>
        </w:rPr>
        <w:t xml:space="preserve">Composite </w:t>
      </w:r>
      <w:r w:rsidR="00357BF2" w:rsidRPr="005D0571">
        <w:rPr>
          <w:color w:val="000000"/>
          <w:lang w:val="en-US"/>
        </w:rPr>
        <w:t xml:space="preserve">satellite-based precipitation products include CMAP, GPCP and CMORPH. There are differences </w:t>
      </w:r>
      <w:r w:rsidR="00357BF2" w:rsidRPr="005D0571">
        <w:rPr>
          <w:color w:val="000000"/>
          <w:lang w:val="en-US"/>
        </w:rPr>
        <w:lastRenderedPageBreak/>
        <w:t>betwee</w:t>
      </w:r>
      <w:r w:rsidR="00FA3B6C">
        <w:rPr>
          <w:color w:val="000000"/>
          <w:lang w:val="en-US"/>
        </w:rPr>
        <w:t xml:space="preserve">n these products </w:t>
      </w:r>
      <w:r w:rsidR="00BF5A2A">
        <w:rPr>
          <w:color w:val="000000"/>
          <w:lang w:val="en-US"/>
        </w:rPr>
        <w:t>[13</w:t>
      </w:r>
      <w:r w:rsidR="000E211D">
        <w:rPr>
          <w:color w:val="000000"/>
          <w:lang w:val="en-US"/>
        </w:rPr>
        <w:t>]</w:t>
      </w:r>
      <w:r w:rsidR="00357BF2" w:rsidRPr="005D0571">
        <w:rPr>
          <w:color w:val="000000"/>
          <w:lang w:val="en-US"/>
        </w:rPr>
        <w:t xml:space="preserve">; reported accuracies </w:t>
      </w:r>
      <w:r w:rsidR="00357BF2">
        <w:rPr>
          <w:color w:val="000000"/>
          <w:lang w:val="en-US"/>
        </w:rPr>
        <w:t>ar</w:t>
      </w:r>
      <w:r w:rsidR="00BF5A2A">
        <w:rPr>
          <w:color w:val="000000"/>
          <w:lang w:val="en-US"/>
        </w:rPr>
        <w:t>e within 5</w:t>
      </w:r>
      <w:r w:rsidR="00357BF2" w:rsidRPr="005D0571">
        <w:rPr>
          <w:color w:val="000000"/>
          <w:lang w:val="en-US"/>
        </w:rPr>
        <w:t xml:space="preserve">0% </w:t>
      </w:r>
    </w:p>
    <w:p w14:paraId="3F9DF23F" w14:textId="77777777" w:rsidR="00357BF2" w:rsidRPr="005D0571" w:rsidRDefault="00357BF2" w:rsidP="00357BF2">
      <w:pPr>
        <w:rPr>
          <w:color w:val="000000"/>
          <w:lang w:val="en-US"/>
        </w:rPr>
      </w:pPr>
    </w:p>
    <w:p w14:paraId="29634450" w14:textId="77777777" w:rsidR="00357BF2" w:rsidRPr="005D0571" w:rsidRDefault="00357BF2" w:rsidP="00AA1ED0">
      <w:pPr>
        <w:pStyle w:val="Heading1"/>
        <w:numPr>
          <w:ilvl w:val="1"/>
          <w:numId w:val="22"/>
        </w:numPr>
        <w:spacing w:after="0"/>
        <w:rPr>
          <w:b/>
          <w:lang w:val="en-US"/>
        </w:rPr>
      </w:pPr>
      <w:r w:rsidRPr="005D0571">
        <w:rPr>
          <w:b/>
          <w:lang w:val="en-US"/>
        </w:rPr>
        <w:t>Fluxes from NWP reanalyses and operational analyses</w:t>
      </w:r>
    </w:p>
    <w:p w14:paraId="60407A57" w14:textId="4227D17E" w:rsidR="00357BF2" w:rsidRDefault="00357BF2" w:rsidP="00AA1ED0">
      <w:pPr>
        <w:rPr>
          <w:color w:val="000000"/>
          <w:lang w:val="en-US"/>
        </w:rPr>
      </w:pPr>
      <w:r w:rsidRPr="005D0571">
        <w:rPr>
          <w:color w:val="000000"/>
          <w:lang w:val="en-US"/>
        </w:rPr>
        <w:t xml:space="preserve">Numerical models provide fluxes and meteorological parameters on a regular global grid. NWP models still have poor representation of some physical processes near the surface and do not adequately use available observational data. High quality </w:t>
      </w:r>
      <w:r w:rsidRPr="005D0571">
        <w:rPr>
          <w:i/>
          <w:color w:val="000000"/>
          <w:lang w:val="en-US"/>
        </w:rPr>
        <w:t>in situ</w:t>
      </w:r>
      <w:r w:rsidRPr="005D0571">
        <w:rPr>
          <w:color w:val="000000"/>
          <w:lang w:val="en-US"/>
        </w:rPr>
        <w:t xml:space="preserve"> flux data are required for validation: the WCRP </w:t>
      </w:r>
      <w:r w:rsidR="00FA3B6C">
        <w:rPr>
          <w:color w:val="000000"/>
          <w:lang w:val="en-US"/>
        </w:rPr>
        <w:t>SURFA initiative [</w:t>
      </w:r>
      <w:r w:rsidR="00FA3B6C" w:rsidRPr="00FA3B6C">
        <w:rPr>
          <w:color w:val="000000"/>
          <w:lang w:val="en-US"/>
        </w:rPr>
        <w:t>http://www.ncdc.noaa.gov/oa/rsad/air-sea/index.html</w:t>
      </w:r>
      <w:r w:rsidRPr="005D0571">
        <w:rPr>
          <w:color w:val="000000"/>
          <w:lang w:val="en-US"/>
        </w:rPr>
        <w:t xml:space="preserve">] provides an infrastructure for comparisons. </w:t>
      </w:r>
      <w:r w:rsidR="00FD311A">
        <w:rPr>
          <w:color w:val="000000"/>
          <w:lang w:val="en-US"/>
        </w:rPr>
        <w:t xml:space="preserve"> </w:t>
      </w:r>
      <w:r w:rsidRPr="005D0571">
        <w:rPr>
          <w:color w:val="000000"/>
          <w:lang w:val="en-US"/>
        </w:rPr>
        <w:t>Atmospheric reanalyses provided long-term flux datasets based on consistent model formulations including assimilation of atmospheric dat</w:t>
      </w:r>
      <w:r w:rsidR="00FA3B6C">
        <w:rPr>
          <w:color w:val="000000"/>
          <w:lang w:val="en-US"/>
        </w:rPr>
        <w:t>a. Although not high accuracy [9</w:t>
      </w:r>
      <w:r w:rsidRPr="005D0571">
        <w:rPr>
          <w:color w:val="000000"/>
          <w:lang w:val="en-US"/>
        </w:rPr>
        <w:t>]</w:t>
      </w:r>
      <w:r w:rsidR="00FD532E">
        <w:rPr>
          <w:color w:val="000000"/>
          <w:lang w:val="en-US"/>
        </w:rPr>
        <w:t>,</w:t>
      </w:r>
      <w:r w:rsidRPr="005D0571">
        <w:rPr>
          <w:color w:val="000000"/>
          <w:lang w:val="en-US"/>
        </w:rPr>
        <w:t xml:space="preserve"> reanalysis fluxes have been used in a wide range of research applications. </w:t>
      </w:r>
    </w:p>
    <w:p w14:paraId="24A24E2C" w14:textId="77777777" w:rsidR="00FD311A" w:rsidRPr="005D0571" w:rsidRDefault="00FD311A" w:rsidP="00357BF2">
      <w:pPr>
        <w:rPr>
          <w:color w:val="000000"/>
          <w:lang w:val="en-US"/>
        </w:rPr>
      </w:pPr>
    </w:p>
    <w:p w14:paraId="019DBD6A" w14:textId="77777777" w:rsidR="00357BF2" w:rsidRPr="005D0571" w:rsidRDefault="00357BF2" w:rsidP="00AA1ED0">
      <w:pPr>
        <w:pStyle w:val="Heading1"/>
        <w:numPr>
          <w:ilvl w:val="1"/>
          <w:numId w:val="22"/>
        </w:numPr>
        <w:spacing w:after="0"/>
        <w:rPr>
          <w:b/>
          <w:lang w:val="en-US"/>
        </w:rPr>
      </w:pPr>
      <w:r w:rsidRPr="005D0571">
        <w:rPr>
          <w:b/>
          <w:lang w:val="en-US"/>
        </w:rPr>
        <w:t>Blended and hybrid turbulent heat flux products</w:t>
      </w:r>
    </w:p>
    <w:p w14:paraId="1B782D4E" w14:textId="17226A25" w:rsidR="00357BF2" w:rsidRPr="005D0571" w:rsidRDefault="00357BF2" w:rsidP="00AA1ED0">
      <w:pPr>
        <w:rPr>
          <w:color w:val="000000"/>
          <w:lang w:val="en-US"/>
        </w:rPr>
      </w:pPr>
      <w:r w:rsidRPr="005D0571">
        <w:rPr>
          <w:color w:val="000000"/>
          <w:lang w:val="en-US"/>
        </w:rPr>
        <w:t>Global flux products using multiple inpu</w:t>
      </w:r>
      <w:r w:rsidR="00FA3B6C">
        <w:rPr>
          <w:color w:val="000000"/>
          <w:lang w:val="en-US"/>
        </w:rPr>
        <w:t>t data sources [14]</w:t>
      </w:r>
      <w:r w:rsidRPr="005D0571">
        <w:rPr>
          <w:color w:val="000000"/>
          <w:lang w:val="en-US"/>
        </w:rPr>
        <w:t xml:space="preserve"> are being developed. These include hybrid products, which select variables from different sources including NWP, satellite, and </w:t>
      </w:r>
      <w:r w:rsidRPr="005D0571">
        <w:rPr>
          <w:i/>
          <w:color w:val="000000"/>
          <w:lang w:val="en-US"/>
        </w:rPr>
        <w:t>in situ</w:t>
      </w:r>
      <w:r w:rsidRPr="005D0571">
        <w:rPr>
          <w:color w:val="000000"/>
          <w:lang w:val="en-US"/>
        </w:rPr>
        <w:t xml:space="preserve"> variables. Bias adjustments based on product di</w:t>
      </w:r>
      <w:r w:rsidR="008C4377">
        <w:rPr>
          <w:color w:val="000000"/>
          <w:lang w:val="en-US"/>
        </w:rPr>
        <w:t xml:space="preserve">fferences, energy constraints </w:t>
      </w:r>
      <w:r w:rsidRPr="005D0571">
        <w:rPr>
          <w:color w:val="000000"/>
          <w:lang w:val="en-US"/>
        </w:rPr>
        <w:t>o</w:t>
      </w:r>
      <w:r w:rsidR="008C4377">
        <w:rPr>
          <w:color w:val="000000"/>
          <w:lang w:val="en-US"/>
        </w:rPr>
        <w:t>r fits to satellite</w:t>
      </w:r>
      <w:r w:rsidRPr="005D0571">
        <w:rPr>
          <w:color w:val="000000"/>
          <w:lang w:val="en-US"/>
        </w:rPr>
        <w:t xml:space="preserve"> or </w:t>
      </w:r>
      <w:r w:rsidRPr="005D0571">
        <w:rPr>
          <w:i/>
          <w:color w:val="000000"/>
          <w:lang w:val="en-US"/>
        </w:rPr>
        <w:t>in situ</w:t>
      </w:r>
      <w:r w:rsidR="008C4377">
        <w:rPr>
          <w:color w:val="000000"/>
          <w:lang w:val="en-US"/>
        </w:rPr>
        <w:t xml:space="preserve"> data</w:t>
      </w:r>
      <w:r w:rsidRPr="005D0571">
        <w:rPr>
          <w:color w:val="000000"/>
          <w:lang w:val="en-US"/>
        </w:rPr>
        <w:t xml:space="preserve"> can be applied</w:t>
      </w:r>
      <w:r w:rsidR="008C4377">
        <w:rPr>
          <w:color w:val="000000"/>
          <w:lang w:val="en-US"/>
        </w:rPr>
        <w:t xml:space="preserve"> [9]</w:t>
      </w:r>
      <w:r w:rsidRPr="005D0571">
        <w:rPr>
          <w:color w:val="000000"/>
          <w:lang w:val="en-US"/>
        </w:rPr>
        <w:t>. Blended datasets, where multiple data sources are combined for each variable</w:t>
      </w:r>
      <w:r>
        <w:rPr>
          <w:color w:val="000000"/>
          <w:lang w:val="en-US"/>
        </w:rPr>
        <w:t xml:space="preserve"> using an objective analysis</w:t>
      </w:r>
      <w:r w:rsidRPr="005D0571">
        <w:rPr>
          <w:color w:val="000000"/>
          <w:lang w:val="en-US"/>
        </w:rPr>
        <w:t xml:space="preserve">, can be in good agreement with climate quality </w:t>
      </w:r>
      <w:r w:rsidRPr="005D0571">
        <w:rPr>
          <w:i/>
          <w:color w:val="000000"/>
          <w:lang w:val="en-US"/>
        </w:rPr>
        <w:t>in situ</w:t>
      </w:r>
      <w:r w:rsidRPr="005D0571">
        <w:rPr>
          <w:color w:val="000000"/>
          <w:lang w:val="en-US"/>
        </w:rPr>
        <w:t xml:space="preserve"> data</w:t>
      </w:r>
      <w:r w:rsidR="00360ACB">
        <w:rPr>
          <w:color w:val="000000"/>
          <w:lang w:val="en-US"/>
        </w:rPr>
        <w:t>.</w:t>
      </w:r>
      <w:r w:rsidRPr="005D0571">
        <w:rPr>
          <w:color w:val="000000"/>
          <w:lang w:val="en-US"/>
        </w:rPr>
        <w:t xml:space="preserve"> Blended products are likely to produce the best quality flux datasets for many applications including for forcing ocean models and analysis of interannual variability. </w:t>
      </w:r>
    </w:p>
    <w:p w14:paraId="6C6EB9BD" w14:textId="77777777" w:rsidR="00944DB2" w:rsidRPr="005D0571" w:rsidRDefault="00944DB2">
      <w:pPr>
        <w:rPr>
          <w:color w:val="000000"/>
          <w:lang w:val="en-US"/>
        </w:rPr>
      </w:pPr>
    </w:p>
    <w:p w14:paraId="6ED87A09" w14:textId="55621DF7" w:rsidR="00944DB2" w:rsidRPr="005D0571" w:rsidRDefault="00944DB2" w:rsidP="00944DB2">
      <w:pPr>
        <w:pStyle w:val="Heading1"/>
        <w:rPr>
          <w:b/>
          <w:lang w:val="en-US"/>
        </w:rPr>
      </w:pPr>
      <w:r w:rsidRPr="005D0571">
        <w:rPr>
          <w:b/>
          <w:lang w:val="en-US"/>
        </w:rPr>
        <w:t>THE NEED FOR NEW OBSERVATION</w:t>
      </w:r>
      <w:r w:rsidR="00451453">
        <w:rPr>
          <w:b/>
          <w:lang w:val="en-US"/>
        </w:rPr>
        <w:t>S</w:t>
      </w:r>
    </w:p>
    <w:p w14:paraId="01CEA2EF" w14:textId="40D6161B" w:rsidR="00944DB2" w:rsidRPr="005D0571" w:rsidRDefault="007454A8" w:rsidP="00944DB2">
      <w:pPr>
        <w:rPr>
          <w:lang w:val="en-US"/>
        </w:rPr>
      </w:pPr>
      <w:r>
        <w:rPr>
          <w:lang w:val="en-US"/>
        </w:rPr>
        <w:t>Research campaigns and e</w:t>
      </w:r>
      <w:r w:rsidR="00140C7A">
        <w:rPr>
          <w:lang w:val="en-US"/>
        </w:rPr>
        <w:t>xpansion of the s</w:t>
      </w:r>
      <w:r w:rsidR="00944DB2" w:rsidRPr="005D0571">
        <w:rPr>
          <w:lang w:val="en-US"/>
        </w:rPr>
        <w:t xml:space="preserve">ustained high quality </w:t>
      </w:r>
      <w:r w:rsidR="00944DB2" w:rsidRPr="005D0571">
        <w:rPr>
          <w:i/>
          <w:lang w:val="en-US"/>
        </w:rPr>
        <w:t>in situ</w:t>
      </w:r>
      <w:r w:rsidR="00944DB2" w:rsidRPr="005D0571">
        <w:rPr>
          <w:lang w:val="en-US"/>
        </w:rPr>
        <w:t xml:space="preserve"> observations of flux-related variables are </w:t>
      </w:r>
      <w:r w:rsidR="006F6CCC">
        <w:rPr>
          <w:lang w:val="en-US"/>
        </w:rPr>
        <w:t>e</w:t>
      </w:r>
      <w:r w:rsidR="00944DB2" w:rsidRPr="005D0571">
        <w:rPr>
          <w:lang w:val="en-US"/>
        </w:rPr>
        <w:t xml:space="preserve">specially </w:t>
      </w:r>
      <w:r w:rsidR="00A87353">
        <w:rPr>
          <w:lang w:val="en-US"/>
        </w:rPr>
        <w:t xml:space="preserve">needed </w:t>
      </w:r>
      <w:r w:rsidR="00944DB2" w:rsidRPr="005D0571">
        <w:rPr>
          <w:lang w:val="en-US"/>
        </w:rPr>
        <w:t>at high latitudes</w:t>
      </w:r>
      <w:r w:rsidR="00AA1ED0">
        <w:rPr>
          <w:lang w:val="en-US"/>
        </w:rPr>
        <w:t xml:space="preserve"> and coastal regions</w:t>
      </w:r>
      <w:r w:rsidR="00944DB2" w:rsidRPr="005D0571">
        <w:rPr>
          <w:lang w:val="en-US"/>
        </w:rPr>
        <w:t>, where variability is high. The turbulent transport coefficients in existing bulk flux algorithms vary with wind speed and atmospheric stability. Much less well understood is the influence of wave characteristics such as steepness, age, breaking, white-capping, direction of propagation relative to the wind and the presence</w:t>
      </w:r>
      <w:r w:rsidR="009E7EB9">
        <w:rPr>
          <w:lang w:val="en-US"/>
        </w:rPr>
        <w:t>/</w:t>
      </w:r>
      <w:r w:rsidR="00944DB2" w:rsidRPr="005D0571">
        <w:rPr>
          <w:lang w:val="en-US"/>
        </w:rPr>
        <w:t xml:space="preserve">absence of swell. </w:t>
      </w:r>
    </w:p>
    <w:p w14:paraId="6F4D6172" w14:textId="0E5942F3" w:rsidR="00944DB2" w:rsidRPr="005D0571" w:rsidRDefault="00944DB2" w:rsidP="00944DB2">
      <w:pPr>
        <w:rPr>
          <w:lang w:val="en-US"/>
        </w:rPr>
      </w:pPr>
      <w:r w:rsidRPr="005D0571">
        <w:rPr>
          <w:lang w:val="en-US"/>
        </w:rPr>
        <w:t>New sustained observation programs using direct flux observing technologies on more continuously operating platforms (buoys, weather ships, and research vessels) are needed to supplement research campaig</w:t>
      </w:r>
      <w:r w:rsidR="006F6CCC">
        <w:rPr>
          <w:lang w:val="en-US"/>
        </w:rPr>
        <w:t>ns. Measurements of whitecaps</w:t>
      </w:r>
      <w:r w:rsidRPr="005D0571">
        <w:rPr>
          <w:lang w:val="en-US"/>
        </w:rPr>
        <w:t xml:space="preserve"> will aid development of algorithms for</w:t>
      </w:r>
      <w:r w:rsidR="006A4AA6">
        <w:rPr>
          <w:lang w:val="en-US"/>
        </w:rPr>
        <w:t xml:space="preserve"> remote sensin</w:t>
      </w:r>
      <w:r w:rsidR="00C82718">
        <w:rPr>
          <w:lang w:val="en-US"/>
        </w:rPr>
        <w:t>g</w:t>
      </w:r>
      <w:r w:rsidRPr="005D0571">
        <w:rPr>
          <w:lang w:val="en-US"/>
        </w:rPr>
        <w:t xml:space="preserve"> for use in new gas and aerosol flux parameterizations. </w:t>
      </w:r>
      <w:r w:rsidR="00965B22">
        <w:rPr>
          <w:lang w:val="en-US"/>
        </w:rPr>
        <w:t>D</w:t>
      </w:r>
      <w:r w:rsidRPr="005D0571">
        <w:rPr>
          <w:lang w:val="en-US"/>
        </w:rPr>
        <w:t>irect covariance flux packages should be added</w:t>
      </w:r>
      <w:r w:rsidR="006F6CCC">
        <w:rPr>
          <w:lang w:val="en-US"/>
        </w:rPr>
        <w:t xml:space="preserve"> to</w:t>
      </w:r>
      <w:r w:rsidR="00965B22">
        <w:rPr>
          <w:lang w:val="en-US"/>
        </w:rPr>
        <w:t xml:space="preserve"> </w:t>
      </w:r>
      <w:r w:rsidR="00965B22" w:rsidRPr="00965B22">
        <w:rPr>
          <w:lang w:val="en-US"/>
        </w:rPr>
        <w:t>buoy networks</w:t>
      </w:r>
      <w:r w:rsidR="006F6CCC">
        <w:rPr>
          <w:lang w:val="en-US"/>
        </w:rPr>
        <w:t xml:space="preserve"> to improve accuracy and parameterizations.</w:t>
      </w:r>
    </w:p>
    <w:p w14:paraId="06A03C38" w14:textId="09412DE8" w:rsidR="00944DB2" w:rsidRPr="005D0571" w:rsidRDefault="00E05BF3" w:rsidP="00944DB2">
      <w:pPr>
        <w:rPr>
          <w:lang w:val="en-US"/>
        </w:rPr>
      </w:pPr>
      <w:r>
        <w:rPr>
          <w:lang w:val="en-US"/>
        </w:rPr>
        <w:t xml:space="preserve">Direct measurements of </w:t>
      </w:r>
      <w:r w:rsidR="00944DB2" w:rsidRPr="005D0571">
        <w:rPr>
          <w:lang w:val="en-US"/>
        </w:rPr>
        <w:t>gas and aerosol fluxes a</w:t>
      </w:r>
      <w:r>
        <w:rPr>
          <w:lang w:val="en-US"/>
        </w:rPr>
        <w:t>re still exploratory and parameterizations are very uncertain</w:t>
      </w:r>
      <w:r w:rsidR="0084112C">
        <w:rPr>
          <w:lang w:val="en-US"/>
        </w:rPr>
        <w:t xml:space="preserve"> [15</w:t>
      </w:r>
      <w:r w:rsidR="00042EC8">
        <w:rPr>
          <w:lang w:val="en-US"/>
        </w:rPr>
        <w:t>, 16</w:t>
      </w:r>
      <w:r w:rsidR="00944DB2" w:rsidRPr="005D0571">
        <w:rPr>
          <w:lang w:val="en-US"/>
        </w:rPr>
        <w:t xml:space="preserve">]. </w:t>
      </w:r>
      <w:r w:rsidR="00944402">
        <w:rPr>
          <w:lang w:val="en-US"/>
        </w:rPr>
        <w:t>R</w:t>
      </w:r>
      <w:r w:rsidR="00944DB2" w:rsidRPr="005D0571">
        <w:rPr>
          <w:lang w:val="en-US"/>
        </w:rPr>
        <w:t xml:space="preserve">ecent </w:t>
      </w:r>
      <w:r>
        <w:rPr>
          <w:lang w:val="en-US"/>
        </w:rPr>
        <w:t xml:space="preserve">aerosol flux </w:t>
      </w:r>
      <w:r w:rsidR="00944DB2" w:rsidRPr="005D0571">
        <w:rPr>
          <w:lang w:val="en-US"/>
        </w:rPr>
        <w:t>formulations conve</w:t>
      </w:r>
      <w:r w:rsidR="006F6CCC">
        <w:rPr>
          <w:lang w:val="en-US"/>
        </w:rPr>
        <w:t xml:space="preserve">rge to </w:t>
      </w:r>
      <w:r w:rsidR="006F6CCC">
        <w:rPr>
          <w:lang w:val="en-US"/>
        </w:rPr>
        <w:lastRenderedPageBreak/>
        <w:t>only about a factor of five</w:t>
      </w:r>
      <w:r w:rsidR="00944DB2" w:rsidRPr="005D0571">
        <w:rPr>
          <w:lang w:val="en-US"/>
        </w:rPr>
        <w:t>, and more measurements are required in a variety of different conditions.</w:t>
      </w:r>
      <w:r>
        <w:rPr>
          <w:lang w:val="en-US"/>
        </w:rPr>
        <w:t xml:space="preserve"> </w:t>
      </w:r>
      <w:r w:rsidR="00944DB2" w:rsidRPr="005D0571">
        <w:rPr>
          <w:lang w:val="en-US"/>
        </w:rPr>
        <w:t xml:space="preserve"> Many more measurements of ocean and atmospheric pCO</w:t>
      </w:r>
      <w:r w:rsidR="00944DB2" w:rsidRPr="005D0571">
        <w:rPr>
          <w:vertAlign w:val="subscript"/>
          <w:lang w:val="en-US"/>
        </w:rPr>
        <w:t>2</w:t>
      </w:r>
      <w:r w:rsidR="0084112C">
        <w:rPr>
          <w:lang w:val="en-US"/>
        </w:rPr>
        <w:t xml:space="preserve"> are needed [16</w:t>
      </w:r>
      <w:r w:rsidR="00C5294C">
        <w:rPr>
          <w:lang w:val="en-US"/>
        </w:rPr>
        <w:t>, 17</w:t>
      </w:r>
      <w:r w:rsidR="0084112C">
        <w:rPr>
          <w:lang w:val="en-US"/>
        </w:rPr>
        <w:t>]</w:t>
      </w:r>
      <w:r w:rsidR="00944DB2" w:rsidRPr="005D0571">
        <w:rPr>
          <w:lang w:val="en-US"/>
        </w:rPr>
        <w:t xml:space="preserve"> along with improved data management to facilitate the development of both new parameterizations and of high spatial resolution global CO</w:t>
      </w:r>
      <w:r w:rsidR="00944DB2" w:rsidRPr="005D0571">
        <w:rPr>
          <w:vertAlign w:val="subscript"/>
          <w:lang w:val="en-US"/>
        </w:rPr>
        <w:t>2</w:t>
      </w:r>
      <w:r w:rsidR="00944DB2" w:rsidRPr="005D0571">
        <w:rPr>
          <w:lang w:val="en-US"/>
        </w:rPr>
        <w:t xml:space="preserve"> air-sea flux products with realistic variability. Information on ocean biology and aerosols from satellites provides important information f</w:t>
      </w:r>
      <w:r w:rsidR="0084112C">
        <w:rPr>
          <w:lang w:val="en-US"/>
        </w:rPr>
        <w:t>or gas exchange [17</w:t>
      </w:r>
      <w:r w:rsidR="00944DB2" w:rsidRPr="005D0571">
        <w:rPr>
          <w:lang w:val="en-US"/>
        </w:rPr>
        <w:t>].</w:t>
      </w:r>
    </w:p>
    <w:p w14:paraId="4C32E6D1" w14:textId="30B34430" w:rsidR="00944DB2" w:rsidRPr="005D0571" w:rsidRDefault="00944DB2" w:rsidP="00944DB2">
      <w:pPr>
        <w:rPr>
          <w:lang w:val="en-US"/>
        </w:rPr>
      </w:pPr>
      <w:r w:rsidRPr="005D0571">
        <w:rPr>
          <w:lang w:val="en-US"/>
        </w:rPr>
        <w:t xml:space="preserve">Validation of open ocean satellite precipitation measurements uses comparisons with precipitation radars at coastal and island-based sites which are in turn calibrated against </w:t>
      </w:r>
      <w:r w:rsidRPr="005D0571">
        <w:rPr>
          <w:i/>
          <w:lang w:val="en-US"/>
        </w:rPr>
        <w:t>in situ</w:t>
      </w:r>
      <w:r w:rsidRPr="005D0571">
        <w:rPr>
          <w:lang w:val="en-US"/>
        </w:rPr>
        <w:t xml:space="preserve"> rain gauges and </w:t>
      </w:r>
      <w:proofErr w:type="spellStart"/>
      <w:r w:rsidRPr="005D0571">
        <w:rPr>
          <w:lang w:val="en-US"/>
        </w:rPr>
        <w:t>disdrometers</w:t>
      </w:r>
      <w:proofErr w:type="spellEnd"/>
      <w:r w:rsidRPr="005D0571">
        <w:rPr>
          <w:lang w:val="en-US"/>
        </w:rPr>
        <w:t>. However, as algorithm retrieval errors have a strong dependenc</w:t>
      </w:r>
      <w:r w:rsidR="0084112C">
        <w:rPr>
          <w:lang w:val="en-US"/>
        </w:rPr>
        <w:t>e on meteorological regime</w:t>
      </w:r>
      <w:r w:rsidRPr="005D0571">
        <w:rPr>
          <w:lang w:val="en-US"/>
        </w:rPr>
        <w:t>, ships equipped with credible precipitation instruments could provide important validation particularly with the Global Precipitation Measurement (GPM) constellation of satellites. A renewed effort to develop and deploy improved accuracy shipboard</w:t>
      </w:r>
      <w:r w:rsidR="00A678AF">
        <w:rPr>
          <w:lang w:val="en-US"/>
        </w:rPr>
        <w:t xml:space="preserve"> and/or buoy</w:t>
      </w:r>
      <w:r w:rsidRPr="005D0571">
        <w:rPr>
          <w:lang w:val="en-US"/>
        </w:rPr>
        <w:t xml:space="preserve"> rain gauges </w:t>
      </w:r>
      <w:r w:rsidR="008856DA">
        <w:rPr>
          <w:lang w:val="en-US"/>
        </w:rPr>
        <w:t>is required</w:t>
      </w:r>
      <w:r w:rsidRPr="005D0571">
        <w:rPr>
          <w:lang w:val="en-US"/>
        </w:rPr>
        <w:t xml:space="preserve">. </w:t>
      </w:r>
    </w:p>
    <w:p w14:paraId="57CDBBC9" w14:textId="77777777" w:rsidR="00944DB2" w:rsidRPr="005D0571" w:rsidRDefault="00944DB2" w:rsidP="00944DB2">
      <w:pPr>
        <w:rPr>
          <w:lang w:val="en-US"/>
        </w:rPr>
      </w:pPr>
    </w:p>
    <w:p w14:paraId="0AAA0263" w14:textId="77777777" w:rsidR="00944DB2" w:rsidRPr="005D0571" w:rsidRDefault="00944DB2" w:rsidP="00944DB2">
      <w:pPr>
        <w:pStyle w:val="Heading1"/>
        <w:rPr>
          <w:b/>
          <w:lang w:val="en-US"/>
        </w:rPr>
      </w:pPr>
      <w:r w:rsidRPr="005D0571">
        <w:rPr>
          <w:b/>
          <w:lang w:val="en-US"/>
        </w:rPr>
        <w:t>TECHNOLOGY DEVELOPMENT AND IMPROVED OBSERVATIONS</w:t>
      </w:r>
    </w:p>
    <w:p w14:paraId="372A46D0" w14:textId="1E164AF8" w:rsidR="00944DB2" w:rsidRPr="005D0571" w:rsidRDefault="00944DB2" w:rsidP="00944DB2">
      <w:pPr>
        <w:rPr>
          <w:lang w:val="en-US"/>
        </w:rPr>
      </w:pPr>
      <w:r w:rsidRPr="005D0571">
        <w:rPr>
          <w:i/>
          <w:lang w:val="en-US"/>
        </w:rPr>
        <w:t>In situ</w:t>
      </w:r>
      <w:r w:rsidRPr="005D0571">
        <w:rPr>
          <w:lang w:val="en-US"/>
        </w:rPr>
        <w:t xml:space="preserve"> sensors for the fluxes of energy, heat, water and salt were </w:t>
      </w:r>
      <w:r w:rsidRPr="005D0571" w:rsidDel="003B0F1D">
        <w:rPr>
          <w:lang w:val="en-US"/>
        </w:rPr>
        <w:t>recently</w:t>
      </w:r>
      <w:r w:rsidRPr="005D0571">
        <w:rPr>
          <w:lang w:val="en-US"/>
        </w:rPr>
        <w:t xml:space="preserve"> reviewed [</w:t>
      </w:r>
      <w:r w:rsidR="00A3137D">
        <w:rPr>
          <w:lang w:val="en-US"/>
        </w:rPr>
        <w:t>1</w:t>
      </w:r>
      <w:r w:rsidRPr="005D0571">
        <w:rPr>
          <w:lang w:val="en-US"/>
        </w:rPr>
        <w:t>8]. There is a continuing need to investigate the performance of existing sensors, for example calibration and comparability of radiometers remains a challenge, gas flux sensors are of marginal accuracy and reliability in open ocean conditions, and aerosol flux measurements are in their infancy. The development and introduction of new sensors, for example for CO</w:t>
      </w:r>
      <w:r w:rsidRPr="005D0571">
        <w:rPr>
          <w:vertAlign w:val="subscript"/>
          <w:lang w:val="en-US"/>
        </w:rPr>
        <w:t>2</w:t>
      </w:r>
      <w:r w:rsidRPr="005D0571">
        <w:rPr>
          <w:lang w:val="en-US"/>
        </w:rPr>
        <w:t>, ozone, SO</w:t>
      </w:r>
      <w:r w:rsidRPr="005D0571">
        <w:rPr>
          <w:vertAlign w:val="subscript"/>
          <w:lang w:val="en-US"/>
        </w:rPr>
        <w:t>2</w:t>
      </w:r>
      <w:r w:rsidRPr="005D0571">
        <w:rPr>
          <w:lang w:val="en-US"/>
        </w:rPr>
        <w:t xml:space="preserve">, and DMS concentration is a priority. </w:t>
      </w:r>
    </w:p>
    <w:p w14:paraId="427D8AAD" w14:textId="544DB640" w:rsidR="00944DB2" w:rsidRPr="005D0571" w:rsidRDefault="00944DB2" w:rsidP="00944DB2">
      <w:pPr>
        <w:rPr>
          <w:lang w:val="en-US"/>
        </w:rPr>
      </w:pPr>
      <w:r w:rsidRPr="005D0571">
        <w:rPr>
          <w:lang w:val="en-US"/>
        </w:rPr>
        <w:t>Increasing power availability on buoys will allow long-term deployments in harsher environments</w:t>
      </w:r>
      <w:r w:rsidR="009E7EB9">
        <w:rPr>
          <w:lang w:val="en-US"/>
        </w:rPr>
        <w:t xml:space="preserve">.  </w:t>
      </w:r>
      <w:r w:rsidRPr="005D0571">
        <w:rPr>
          <w:lang w:val="en-US"/>
        </w:rPr>
        <w:t xml:space="preserve">Increased buoy power will also support routine deployments of </w:t>
      </w:r>
      <w:r w:rsidR="002050B6">
        <w:rPr>
          <w:lang w:val="en-US"/>
        </w:rPr>
        <w:t>optical</w:t>
      </w:r>
      <w:r w:rsidRPr="005D0571">
        <w:rPr>
          <w:lang w:val="en-US"/>
        </w:rPr>
        <w:t xml:space="preserve"> gas analyzers (for CO</w:t>
      </w:r>
      <w:r w:rsidRPr="005D0571">
        <w:rPr>
          <w:vertAlign w:val="subscript"/>
          <w:lang w:val="en-US"/>
        </w:rPr>
        <w:t>2</w:t>
      </w:r>
      <w:r w:rsidRPr="005D0571">
        <w:rPr>
          <w:lang w:val="en-US"/>
        </w:rPr>
        <w:t xml:space="preserve"> and H</w:t>
      </w:r>
      <w:r w:rsidRPr="005D0571">
        <w:rPr>
          <w:vertAlign w:val="subscript"/>
          <w:lang w:val="en-US"/>
        </w:rPr>
        <w:t>2</w:t>
      </w:r>
      <w:r w:rsidRPr="005D0571">
        <w:rPr>
          <w:lang w:val="en-US"/>
        </w:rPr>
        <w:t>O</w:t>
      </w:r>
      <w:r w:rsidR="007C12D1">
        <w:rPr>
          <w:lang w:val="en-US"/>
        </w:rPr>
        <w:t>)</w:t>
      </w:r>
      <w:r w:rsidR="002050B6">
        <w:rPr>
          <w:lang w:val="en-US"/>
        </w:rPr>
        <w:t>.</w:t>
      </w:r>
      <w:r w:rsidRPr="005D0571">
        <w:rPr>
          <w:lang w:val="en-US"/>
        </w:rPr>
        <w:t xml:space="preserve"> The coincident measurement of aerosol fluxes and chemical and physical fluxes is needed </w:t>
      </w:r>
      <w:r w:rsidR="002050B6">
        <w:rPr>
          <w:lang w:val="en-US"/>
        </w:rPr>
        <w:t>for coupling ocean biology and climate</w:t>
      </w:r>
      <w:r w:rsidR="0084112C">
        <w:rPr>
          <w:lang w:val="en-US"/>
        </w:rPr>
        <w:t xml:space="preserve"> [17]</w:t>
      </w:r>
      <w:r w:rsidRPr="005D0571">
        <w:rPr>
          <w:lang w:val="en-US"/>
        </w:rPr>
        <w:t xml:space="preserve">. The development of small-volume gas and aerosol flux sensors will allow deployment on moorings and drifters. Low-power, self-contained flux sensor packages suitable for deployment on coastal weather and navigational buoys should be developed. </w:t>
      </w:r>
    </w:p>
    <w:p w14:paraId="653DEE14" w14:textId="1DD1F9AF" w:rsidR="00944DB2" w:rsidRPr="005D0571" w:rsidRDefault="00944DB2" w:rsidP="00944DB2">
      <w:pPr>
        <w:rPr>
          <w:lang w:val="en-US"/>
        </w:rPr>
      </w:pPr>
      <w:r w:rsidRPr="005D0571">
        <w:rPr>
          <w:lang w:val="en-US"/>
        </w:rPr>
        <w:t xml:space="preserve">Accurate measurements of precipitation at sea are vital. Optical </w:t>
      </w:r>
      <w:proofErr w:type="spellStart"/>
      <w:r w:rsidRPr="005D0571">
        <w:rPr>
          <w:lang w:val="en-US"/>
        </w:rPr>
        <w:t>disdrometers</w:t>
      </w:r>
      <w:proofErr w:type="spellEnd"/>
      <w:r w:rsidRPr="005D0571">
        <w:rPr>
          <w:lang w:val="en-US"/>
        </w:rPr>
        <w:t xml:space="preserve"> are expensive. Well-calibrated and properly installed funnel rain gauges can be effective but need developing to sample blown rain and should ideally be deployed alongside optical rain gauges. Cost-effective rain radar technology for use on ships should be developed. Underwater acoustic sensors have shown some promise.</w:t>
      </w:r>
    </w:p>
    <w:p w14:paraId="13E3704D" w14:textId="77777777" w:rsidR="002050B6" w:rsidRDefault="00944DB2" w:rsidP="00944DB2">
      <w:pPr>
        <w:rPr>
          <w:lang w:val="en-US"/>
        </w:rPr>
      </w:pPr>
      <w:r w:rsidRPr="005D0571">
        <w:rPr>
          <w:lang w:val="en-US"/>
        </w:rPr>
        <w:t xml:space="preserve">Work is needed to extend capabilities to extreme wind conditions. Here, the priority should be placed on the design of sensors capable of performance in </w:t>
      </w:r>
      <w:r w:rsidRPr="005D0571">
        <w:rPr>
          <w:lang w:val="en-US"/>
        </w:rPr>
        <w:lastRenderedPageBreak/>
        <w:t xml:space="preserve">environments with heavy spray loads. </w:t>
      </w:r>
    </w:p>
    <w:p w14:paraId="24B2D5A4" w14:textId="6E8CB7BF" w:rsidR="00944DB2" w:rsidRDefault="00944DB2" w:rsidP="00944DB2">
      <w:pPr>
        <w:rPr>
          <w:lang w:val="en-US"/>
        </w:rPr>
      </w:pPr>
      <w:r w:rsidRPr="005D0571">
        <w:rPr>
          <w:lang w:val="en-US"/>
        </w:rPr>
        <w:t>Also important is the adoption of best practices for deploying sensors on ships and buoys [</w:t>
      </w:r>
      <w:r w:rsidR="00214135">
        <w:rPr>
          <w:lang w:val="en-US"/>
        </w:rPr>
        <w:t>1</w:t>
      </w:r>
      <w:r w:rsidRPr="005D0571">
        <w:rPr>
          <w:lang w:val="en-US"/>
        </w:rPr>
        <w:t>]. High quality flux systems can be installed on vessels to understand the performance of the ship’s existing sensors and guide improvements. Careful location of sensors, minimizing shadows, flow disturbance, and heat island effects remains essential.</w:t>
      </w:r>
    </w:p>
    <w:p w14:paraId="7BBAA8F3" w14:textId="77777777" w:rsidR="002050B6" w:rsidRPr="005D0571" w:rsidRDefault="002050B6" w:rsidP="00944DB2">
      <w:pPr>
        <w:rPr>
          <w:lang w:val="en-US"/>
        </w:rPr>
      </w:pPr>
    </w:p>
    <w:p w14:paraId="42F07135" w14:textId="77777777" w:rsidR="00944DB2" w:rsidRPr="005D0571" w:rsidRDefault="00944DB2" w:rsidP="00944DB2">
      <w:pPr>
        <w:pStyle w:val="Heading1"/>
        <w:rPr>
          <w:b/>
          <w:lang w:val="en-US"/>
        </w:rPr>
      </w:pPr>
      <w:r w:rsidRPr="005D0571">
        <w:rPr>
          <w:b/>
          <w:lang w:val="en-US"/>
        </w:rPr>
        <w:t>DATA MANAGEMENT, STEWARDSHIP AND DISSEMINATION</w:t>
      </w:r>
    </w:p>
    <w:p w14:paraId="1D33CCB5" w14:textId="7DE22C1E" w:rsidR="00944DB2" w:rsidRPr="005D0571" w:rsidRDefault="00944DB2">
      <w:pPr>
        <w:rPr>
          <w:lang w:val="en-US"/>
        </w:rPr>
      </w:pPr>
      <w:r w:rsidRPr="005D0571">
        <w:rPr>
          <w:lang w:val="en-US"/>
        </w:rPr>
        <w:t>Surface flux and related datasets are obtained from a variety of platforms and methods and require data homogenization</w:t>
      </w:r>
      <w:r w:rsidR="00D52670">
        <w:rPr>
          <w:lang w:val="en-US"/>
        </w:rPr>
        <w:t>, documentation,</w:t>
      </w:r>
      <w:r w:rsidRPr="005D0571">
        <w:rPr>
          <w:lang w:val="en-US"/>
        </w:rPr>
        <w:t xml:space="preserve"> and s</w:t>
      </w:r>
      <w:r w:rsidR="00214135">
        <w:rPr>
          <w:lang w:val="en-US"/>
        </w:rPr>
        <w:t>cientific data stewardship</w:t>
      </w:r>
      <w:r w:rsidRPr="005D0571">
        <w:rPr>
          <w:lang w:val="en-US"/>
        </w:rPr>
        <w:t xml:space="preserve">. </w:t>
      </w:r>
      <w:r w:rsidR="00D52670">
        <w:rPr>
          <w:lang w:val="en-US"/>
        </w:rPr>
        <w:t>The flux measurement handbook [</w:t>
      </w:r>
      <w:r w:rsidR="00D52670" w:rsidRPr="00D52670">
        <w:rPr>
          <w:lang w:val="en-US"/>
        </w:rPr>
        <w:t>ftp://ftp1.esrl.noaa.gov/users/cfairall/wcrp_wgsf/flux_handbook/</w:t>
      </w:r>
      <w:r w:rsidRPr="005D0571">
        <w:rPr>
          <w:lang w:val="en-US"/>
        </w:rPr>
        <w:t>] and the “Ten Climate</w:t>
      </w:r>
      <w:r w:rsidR="00A3137D">
        <w:rPr>
          <w:lang w:val="en-US"/>
        </w:rPr>
        <w:t xml:space="preserve"> Monitoring Principles” [19</w:t>
      </w:r>
      <w:r w:rsidRPr="005D0571">
        <w:rPr>
          <w:lang w:val="en-US"/>
        </w:rPr>
        <w:t>] guide flux data collection, documentation and management. International co-ordination is required to make flux data and products from a variety of methods and in various data formats easily available to a wide range of users. Free and open data access and centralized data availability and cataloging are needed to provide wider access for applications includi</w:t>
      </w:r>
      <w:r w:rsidR="00C5294C">
        <w:rPr>
          <w:lang w:val="en-US"/>
        </w:rPr>
        <w:t xml:space="preserve">ng dataset evaluations and </w:t>
      </w:r>
      <w:r w:rsidRPr="005D0571">
        <w:rPr>
          <w:lang w:val="en-US"/>
        </w:rPr>
        <w:t>comparisons, and climate variability and predictabi</w:t>
      </w:r>
      <w:r w:rsidR="00214135">
        <w:rPr>
          <w:lang w:val="en-US"/>
        </w:rPr>
        <w:t>lity studies. The WCRP SURFA</w:t>
      </w:r>
      <w:r w:rsidR="001917CA">
        <w:rPr>
          <w:lang w:val="en-US"/>
        </w:rPr>
        <w:t>,</w:t>
      </w:r>
      <w:r w:rsidR="00214135">
        <w:rPr>
          <w:lang w:val="en-US"/>
        </w:rPr>
        <w:t xml:space="preserve"> SAMOS, and </w:t>
      </w:r>
      <w:proofErr w:type="spellStart"/>
      <w:r w:rsidR="00214135">
        <w:rPr>
          <w:lang w:val="en-US"/>
        </w:rPr>
        <w:t>OceanSITES</w:t>
      </w:r>
      <w:proofErr w:type="spellEnd"/>
      <w:r w:rsidRPr="005D0571">
        <w:rPr>
          <w:lang w:val="en-US"/>
        </w:rPr>
        <w:t xml:space="preserve"> are examples of well-structured and open data management systems.</w:t>
      </w:r>
    </w:p>
    <w:p w14:paraId="6740F60C" w14:textId="77777777" w:rsidR="00944DB2" w:rsidRPr="005D0571" w:rsidRDefault="00944DB2">
      <w:pPr>
        <w:rPr>
          <w:lang w:val="en-US"/>
        </w:rPr>
      </w:pPr>
    </w:p>
    <w:p w14:paraId="422C1056" w14:textId="77777777" w:rsidR="00944DB2" w:rsidRPr="005D0571" w:rsidRDefault="00944DB2" w:rsidP="00944DB2">
      <w:pPr>
        <w:pStyle w:val="Heading1"/>
        <w:rPr>
          <w:b/>
          <w:lang w:val="en-US"/>
        </w:rPr>
      </w:pPr>
      <w:r w:rsidRPr="005D0571">
        <w:rPr>
          <w:b/>
          <w:lang w:val="en-US"/>
        </w:rPr>
        <w:t>RECOMMENDATIONS</w:t>
      </w:r>
    </w:p>
    <w:p w14:paraId="2F7B9540" w14:textId="7EDA0BFF" w:rsidR="00944DB2" w:rsidRPr="005D0571" w:rsidRDefault="00B47D91" w:rsidP="00944DB2">
      <w:pPr>
        <w:rPr>
          <w:lang w:val="en-US"/>
        </w:rPr>
      </w:pPr>
      <w:r>
        <w:rPr>
          <w:b/>
          <w:lang w:val="en-US"/>
        </w:rPr>
        <w:t>1) Expand</w:t>
      </w:r>
      <w:r w:rsidR="00944DB2" w:rsidRPr="005D0571">
        <w:rPr>
          <w:b/>
          <w:lang w:val="en-US"/>
        </w:rPr>
        <w:t xml:space="preserve"> surface flux reference network under </w:t>
      </w:r>
      <w:proofErr w:type="spellStart"/>
      <w:r w:rsidR="00944DB2" w:rsidRPr="005D0571">
        <w:rPr>
          <w:b/>
          <w:lang w:val="en-US"/>
        </w:rPr>
        <w:t>OceanSITES</w:t>
      </w:r>
      <w:proofErr w:type="spellEnd"/>
      <w:r>
        <w:rPr>
          <w:b/>
          <w:lang w:val="en-US"/>
        </w:rPr>
        <w:t xml:space="preserve">: </w:t>
      </w:r>
      <w:r w:rsidR="00944DB2" w:rsidRPr="005D0571">
        <w:rPr>
          <w:lang w:val="en-US"/>
        </w:rPr>
        <w:t>Current priorities for expansion are for sub</w:t>
      </w:r>
      <w:r w:rsidR="00C5294C">
        <w:rPr>
          <w:lang w:val="en-US"/>
        </w:rPr>
        <w:t>-</w:t>
      </w:r>
      <w:r w:rsidR="00944DB2" w:rsidRPr="005D0571">
        <w:rPr>
          <w:lang w:val="en-US"/>
        </w:rPr>
        <w:t>polar and high</w:t>
      </w:r>
      <w:r w:rsidR="00C5294C">
        <w:rPr>
          <w:lang w:val="en-US"/>
        </w:rPr>
        <w:t>-</w:t>
      </w:r>
      <w:r w:rsidR="00944DB2" w:rsidRPr="005D0571">
        <w:rPr>
          <w:lang w:val="en-US"/>
        </w:rPr>
        <w:t>latitude regions, where the sampling is sparse and variability is high, and also in regions with severe weather conditions. When technology allows</w:t>
      </w:r>
      <w:r w:rsidR="007C12D1">
        <w:rPr>
          <w:lang w:val="en-US"/>
        </w:rPr>
        <w:t>,</w:t>
      </w:r>
      <w:r w:rsidR="00944DB2" w:rsidRPr="005D0571">
        <w:rPr>
          <w:lang w:val="en-US"/>
        </w:rPr>
        <w:t xml:space="preserve"> observation capability should be extended to direct turbulent fluxes including gas and particle fluxes.</w:t>
      </w:r>
    </w:p>
    <w:p w14:paraId="33198235" w14:textId="54FC6AC5" w:rsidR="00944DB2" w:rsidRPr="005D0571" w:rsidRDefault="00B47D91" w:rsidP="00944DB2">
      <w:pPr>
        <w:rPr>
          <w:lang w:val="en-US"/>
        </w:rPr>
      </w:pPr>
      <w:r>
        <w:rPr>
          <w:b/>
          <w:lang w:val="en-US"/>
        </w:rPr>
        <w:t>2) Increase the</w:t>
      </w:r>
      <w:r w:rsidR="00944DB2" w:rsidRPr="005D0571">
        <w:rPr>
          <w:b/>
          <w:lang w:val="en-US"/>
        </w:rPr>
        <w:t xml:space="preserve"> number of ships making high quality routine flux-related measurements</w:t>
      </w:r>
      <w:r>
        <w:rPr>
          <w:b/>
          <w:lang w:val="en-US"/>
        </w:rPr>
        <w:t xml:space="preserve">: </w:t>
      </w:r>
      <w:r w:rsidR="00944DB2" w:rsidRPr="005D0571">
        <w:rPr>
          <w:lang w:val="en-US"/>
        </w:rPr>
        <w:t xml:space="preserve">Research vessels should routinely make high quality measurements of mean meteorology, radiative fluxes and precipitation and subsurface data. A subset should also measure direct fluxes, currents, directional wave spectra and other sea state information with a focus on regions of high variability and gaps in the </w:t>
      </w:r>
      <w:proofErr w:type="spellStart"/>
      <w:r w:rsidR="00944DB2" w:rsidRPr="005D0571">
        <w:rPr>
          <w:lang w:val="en-US"/>
        </w:rPr>
        <w:t>OceanSITES</w:t>
      </w:r>
      <w:proofErr w:type="spellEnd"/>
      <w:r w:rsidR="00944DB2" w:rsidRPr="005D0571">
        <w:rPr>
          <w:lang w:val="en-US"/>
        </w:rPr>
        <w:t xml:space="preserve"> network. </w:t>
      </w:r>
    </w:p>
    <w:p w14:paraId="74A4E971" w14:textId="77777777" w:rsidR="00944DB2" w:rsidRPr="005D0571" w:rsidRDefault="00944DB2" w:rsidP="00944DB2">
      <w:pPr>
        <w:rPr>
          <w:lang w:val="en-US"/>
        </w:rPr>
      </w:pPr>
      <w:r w:rsidRPr="005D0571">
        <w:rPr>
          <w:b/>
          <w:lang w:val="en-US"/>
        </w:rPr>
        <w:t xml:space="preserve">3) </w:t>
      </w:r>
      <w:r w:rsidR="00B47D91">
        <w:rPr>
          <w:b/>
          <w:lang w:val="en-US"/>
        </w:rPr>
        <w:t xml:space="preserve">Enhance/Maintain </w:t>
      </w:r>
      <w:r w:rsidRPr="005D0571">
        <w:rPr>
          <w:b/>
          <w:lang w:val="en-US"/>
        </w:rPr>
        <w:t>VOS</w:t>
      </w:r>
      <w:r w:rsidR="00B47D91">
        <w:rPr>
          <w:b/>
          <w:lang w:val="en-US"/>
        </w:rPr>
        <w:t>:</w:t>
      </w:r>
      <w:r w:rsidRPr="005D0571">
        <w:rPr>
          <w:b/>
          <w:lang w:val="en-US"/>
        </w:rPr>
        <w:t xml:space="preserve"> </w:t>
      </w:r>
      <w:r w:rsidRPr="005D0571">
        <w:rPr>
          <w:lang w:val="en-US"/>
        </w:rPr>
        <w:t xml:space="preserve">The ability to maintain long-term </w:t>
      </w:r>
      <w:r w:rsidRPr="005D0571">
        <w:rPr>
          <w:i/>
          <w:lang w:val="en-US"/>
        </w:rPr>
        <w:t>in situ</w:t>
      </w:r>
      <w:r w:rsidRPr="005D0571">
        <w:rPr>
          <w:lang w:val="en-US"/>
        </w:rPr>
        <w:t xml:space="preserve"> flux datasets requires the reinvigoration of the VOS scheme including an emphasis on providing the full ship report including visual observations of cloud, waves and weather, complete observation metadata and an increased number of regularly-reporting ships.</w:t>
      </w:r>
    </w:p>
    <w:p w14:paraId="759C8B1C" w14:textId="77777777" w:rsidR="00944DB2" w:rsidRPr="005D0571" w:rsidRDefault="00944DB2" w:rsidP="00944DB2">
      <w:pPr>
        <w:rPr>
          <w:lang w:val="en-US"/>
        </w:rPr>
      </w:pPr>
      <w:r w:rsidRPr="005D0571">
        <w:rPr>
          <w:b/>
          <w:lang w:val="en-US"/>
        </w:rPr>
        <w:t xml:space="preserve">4) </w:t>
      </w:r>
      <w:r w:rsidR="00B47D91">
        <w:rPr>
          <w:b/>
          <w:lang w:val="en-US"/>
        </w:rPr>
        <w:t>Enhance s</w:t>
      </w:r>
      <w:r w:rsidRPr="005D0571">
        <w:rPr>
          <w:b/>
          <w:lang w:val="en-US"/>
        </w:rPr>
        <w:t>atellite flux observing system</w:t>
      </w:r>
      <w:r w:rsidR="00B47D91">
        <w:rPr>
          <w:b/>
          <w:lang w:val="en-US"/>
        </w:rPr>
        <w:t xml:space="preserve">: </w:t>
      </w:r>
      <w:r w:rsidRPr="005D0571">
        <w:rPr>
          <w:lang w:val="en-US"/>
        </w:rPr>
        <w:t xml:space="preserve">Priorities for satellite observations include improved retrievals of precipitation, near-surface air temperature and humidity and whitecap characteristics. Improved sampling is needed for vector winds, especially during high wind </w:t>
      </w:r>
      <w:r w:rsidRPr="005D0571">
        <w:rPr>
          <w:lang w:val="en-US"/>
        </w:rPr>
        <w:lastRenderedPageBreak/>
        <w:t>speed and rainy conditions, and also improved temporal coverage and higher spatial resolution for both passive and active microwave sensors especially in coastal regions.</w:t>
      </w:r>
    </w:p>
    <w:p w14:paraId="1191A324" w14:textId="77777777" w:rsidR="00944DB2" w:rsidRPr="005D0571" w:rsidRDefault="00944DB2" w:rsidP="00944DB2">
      <w:pPr>
        <w:rPr>
          <w:b/>
          <w:lang w:val="en-US"/>
        </w:rPr>
      </w:pPr>
      <w:r w:rsidRPr="005D0571">
        <w:rPr>
          <w:b/>
          <w:lang w:val="en-US"/>
        </w:rPr>
        <w:t xml:space="preserve">5) </w:t>
      </w:r>
      <w:r w:rsidR="00B47D91">
        <w:rPr>
          <w:b/>
          <w:lang w:val="en-US"/>
        </w:rPr>
        <w:t>Improve f</w:t>
      </w:r>
      <w:r w:rsidRPr="005D0571">
        <w:rPr>
          <w:b/>
          <w:lang w:val="en-US"/>
        </w:rPr>
        <w:t>lux observing system</w:t>
      </w:r>
      <w:r w:rsidR="00B47D91">
        <w:rPr>
          <w:b/>
          <w:lang w:val="en-US"/>
        </w:rPr>
        <w:t xml:space="preserve"> technologies: </w:t>
      </w:r>
    </w:p>
    <w:p w14:paraId="1B2C5A32" w14:textId="77777777" w:rsidR="002050B6" w:rsidRDefault="00944DB2" w:rsidP="00944DB2">
      <w:pPr>
        <w:rPr>
          <w:lang w:val="en-US"/>
        </w:rPr>
      </w:pPr>
      <w:r w:rsidRPr="005D0571">
        <w:rPr>
          <w:lang w:val="en-US"/>
        </w:rPr>
        <w:t>Priorities for technology improvement include: Increased power and bandwidth on moorings; More robust and capable platforms with greater survivability for deployment in harsh environments; Improved gas and aerosol flux sensors including accurate and low-power sensors for CO</w:t>
      </w:r>
      <w:r w:rsidRPr="005D0571">
        <w:rPr>
          <w:vertAlign w:val="subscript"/>
          <w:lang w:val="en-US"/>
        </w:rPr>
        <w:t>2</w:t>
      </w:r>
      <w:r w:rsidRPr="005D0571">
        <w:rPr>
          <w:lang w:val="en-US"/>
        </w:rPr>
        <w:t>, ozone, SO</w:t>
      </w:r>
      <w:r w:rsidRPr="005D0571">
        <w:rPr>
          <w:vertAlign w:val="subscript"/>
          <w:lang w:val="en-US"/>
        </w:rPr>
        <w:t>2</w:t>
      </w:r>
      <w:r w:rsidRPr="005D0571">
        <w:rPr>
          <w:lang w:val="en-US"/>
        </w:rPr>
        <w:t xml:space="preserve"> and DMS; Accurate and low-cost precipitation sensors; </w:t>
      </w:r>
    </w:p>
    <w:p w14:paraId="0F8CF9E6" w14:textId="77777777" w:rsidR="002050B6" w:rsidRDefault="002050B6" w:rsidP="00944DB2">
      <w:pPr>
        <w:rPr>
          <w:lang w:val="en-US"/>
        </w:rPr>
      </w:pPr>
      <w:r>
        <w:rPr>
          <w:b/>
          <w:lang w:val="en-US"/>
        </w:rPr>
        <w:t>6</w:t>
      </w:r>
      <w:r w:rsidR="00944DB2" w:rsidRPr="005D0571">
        <w:rPr>
          <w:b/>
          <w:lang w:val="en-US"/>
        </w:rPr>
        <w:t xml:space="preserve">) </w:t>
      </w:r>
      <w:r w:rsidR="00B47D91">
        <w:rPr>
          <w:b/>
          <w:lang w:val="en-US"/>
        </w:rPr>
        <w:t>Advance f</w:t>
      </w:r>
      <w:r w:rsidR="00944DB2" w:rsidRPr="005D0571">
        <w:rPr>
          <w:b/>
          <w:lang w:val="en-US"/>
        </w:rPr>
        <w:t>lux parameterizations</w:t>
      </w:r>
      <w:r w:rsidR="00B47D91">
        <w:rPr>
          <w:b/>
          <w:lang w:val="en-US"/>
        </w:rPr>
        <w:t>:</w:t>
      </w:r>
      <w:r w:rsidR="00B47D91" w:rsidRPr="005D0571">
        <w:rPr>
          <w:lang w:val="en-US"/>
        </w:rPr>
        <w:t xml:space="preserve"> </w:t>
      </w:r>
      <w:r w:rsidR="00944DB2" w:rsidRPr="005D0571">
        <w:rPr>
          <w:lang w:val="en-US"/>
        </w:rPr>
        <w:t xml:space="preserve">More direct flux measurements are needed to improve flux parameterizations, particularly under high and low wind conditions and for gases and particles under all conditions. Wave characteristics, including wave breaking, should be incorporated into parameterizations of turbulent fluxes of momentum, heat, water, gases and particles, and potentially sea surface albedo. Improved parameterizations of near-surface variations of ocean temperature with depth are needed. </w:t>
      </w:r>
    </w:p>
    <w:p w14:paraId="2E5B95D7" w14:textId="413AFE34" w:rsidR="00944DB2" w:rsidRPr="005D0571" w:rsidRDefault="002050B6" w:rsidP="00944DB2">
      <w:pPr>
        <w:rPr>
          <w:b/>
          <w:lang w:val="en-US"/>
        </w:rPr>
      </w:pPr>
      <w:r>
        <w:rPr>
          <w:b/>
          <w:lang w:val="en-US"/>
        </w:rPr>
        <w:t>7</w:t>
      </w:r>
      <w:r w:rsidR="00944DB2" w:rsidRPr="005D0571">
        <w:rPr>
          <w:b/>
          <w:lang w:val="en-US"/>
        </w:rPr>
        <w:t>) A range of independent and well-</w:t>
      </w:r>
      <w:r w:rsidR="00C5294C" w:rsidRPr="005D0571">
        <w:rPr>
          <w:b/>
          <w:lang w:val="en-US"/>
        </w:rPr>
        <w:t>characterized</w:t>
      </w:r>
      <w:r w:rsidR="00944DB2" w:rsidRPr="005D0571">
        <w:rPr>
          <w:b/>
          <w:lang w:val="en-US"/>
        </w:rPr>
        <w:t xml:space="preserve"> flux products is needed</w:t>
      </w:r>
      <w:r w:rsidR="00673307">
        <w:rPr>
          <w:b/>
          <w:lang w:val="en-US"/>
        </w:rPr>
        <w:t>:</w:t>
      </w:r>
    </w:p>
    <w:p w14:paraId="0A90362C" w14:textId="5D1D374A" w:rsidR="00944DB2" w:rsidRPr="005D0571" w:rsidRDefault="00944DB2" w:rsidP="00944DB2">
      <w:pPr>
        <w:rPr>
          <w:lang w:val="en-US"/>
        </w:rPr>
      </w:pPr>
      <w:r w:rsidRPr="005D0571">
        <w:rPr>
          <w:lang w:val="en-US"/>
        </w:rPr>
        <w:t xml:space="preserve">A wide range of flux products is needed including from NWP/Reanalysis, satellite, </w:t>
      </w:r>
      <w:r w:rsidRPr="005D0571">
        <w:rPr>
          <w:i/>
          <w:lang w:val="en-US"/>
        </w:rPr>
        <w:t>in situ</w:t>
      </w:r>
      <w:r w:rsidRPr="005D0571">
        <w:rPr>
          <w:lang w:val="en-US"/>
        </w:rPr>
        <w:t xml:space="preserve">, and blended, each </w:t>
      </w:r>
      <w:r w:rsidR="00C5294C" w:rsidRPr="005D0571">
        <w:rPr>
          <w:lang w:val="en-US"/>
        </w:rPr>
        <w:t>characterized</w:t>
      </w:r>
      <w:r w:rsidRPr="005D0571">
        <w:rPr>
          <w:lang w:val="en-US"/>
        </w:rPr>
        <w:t xml:space="preserve"> by realistic estimates of u</w:t>
      </w:r>
      <w:r w:rsidR="00C5294C">
        <w:rPr>
          <w:lang w:val="en-US"/>
        </w:rPr>
        <w:t>ncertainty and error covariance</w:t>
      </w:r>
      <w:r w:rsidRPr="005D0571">
        <w:rPr>
          <w:lang w:val="en-US"/>
        </w:rPr>
        <w:t>. Flux products including variables such as gas transfer velocity, air-sea biogeochemical and particle fluxes, and whitecap fraction should be dev</w:t>
      </w:r>
      <w:r w:rsidR="00C5294C">
        <w:rPr>
          <w:lang w:val="en-US"/>
        </w:rPr>
        <w:t xml:space="preserve">eloped. The validation and </w:t>
      </w:r>
      <w:r w:rsidRPr="005D0571">
        <w:rPr>
          <w:lang w:val="en-US"/>
        </w:rPr>
        <w:t>comparison of flux products is a priority.</w:t>
      </w:r>
    </w:p>
    <w:p w14:paraId="597ADA06" w14:textId="1F56F618" w:rsidR="00944DB2" w:rsidRPr="005D0571" w:rsidRDefault="00B47D91" w:rsidP="00944DB2">
      <w:pPr>
        <w:rPr>
          <w:lang w:val="en-US"/>
        </w:rPr>
      </w:pPr>
      <w:r>
        <w:rPr>
          <w:b/>
          <w:lang w:val="en-US"/>
        </w:rPr>
        <w:t>9) Improve</w:t>
      </w:r>
      <w:r w:rsidR="00944DB2" w:rsidRPr="005D0571">
        <w:rPr>
          <w:b/>
          <w:lang w:val="en-US"/>
        </w:rPr>
        <w:t xml:space="preserve"> validation and parameterizations for NWP and reanalysis model fluxes</w:t>
      </w:r>
      <w:r>
        <w:rPr>
          <w:b/>
          <w:lang w:val="en-US"/>
        </w:rPr>
        <w:t xml:space="preserve">: </w:t>
      </w:r>
      <w:proofErr w:type="spellStart"/>
      <w:r w:rsidR="00944DB2" w:rsidRPr="005D0571">
        <w:rPr>
          <w:lang w:val="en-US"/>
        </w:rPr>
        <w:t>Observationalists</w:t>
      </w:r>
      <w:proofErr w:type="spellEnd"/>
      <w:r w:rsidR="00944DB2" w:rsidRPr="005D0571">
        <w:rPr>
          <w:lang w:val="en-US"/>
        </w:rPr>
        <w:t>, dataset developers and modelers</w:t>
      </w:r>
      <w:r w:rsidR="00944DB2" w:rsidRPr="005D0571" w:rsidDel="003B0F1D">
        <w:rPr>
          <w:lang w:val="en-US"/>
        </w:rPr>
        <w:t xml:space="preserve"> </w:t>
      </w:r>
      <w:r w:rsidR="00944DB2" w:rsidRPr="005D0571">
        <w:rPr>
          <w:lang w:val="en-US"/>
        </w:rPr>
        <w:t>should collaborate to validate and characterize fluxes from NWP and reanalysis using high quality flux data in a variety of regions, fac</w:t>
      </w:r>
      <w:r w:rsidR="00C5294C">
        <w:rPr>
          <w:lang w:val="en-US"/>
        </w:rPr>
        <w:t xml:space="preserve">ilitated by the SURFA flux </w:t>
      </w:r>
      <w:r w:rsidR="00944DB2" w:rsidRPr="005D0571">
        <w:rPr>
          <w:lang w:val="en-US"/>
        </w:rPr>
        <w:t xml:space="preserve">comparison project. </w:t>
      </w:r>
    </w:p>
    <w:p w14:paraId="590B002E" w14:textId="77777777" w:rsidR="00944DB2" w:rsidRPr="005D0571" w:rsidRDefault="00944DB2" w:rsidP="00944DB2">
      <w:pPr>
        <w:rPr>
          <w:lang w:val="en-US"/>
        </w:rPr>
      </w:pPr>
      <w:r w:rsidRPr="005D0571">
        <w:rPr>
          <w:b/>
          <w:lang w:val="en-US"/>
        </w:rPr>
        <w:t>10) Improve data stewardship and dissemination</w:t>
      </w:r>
      <w:r w:rsidR="00B47D91">
        <w:rPr>
          <w:b/>
          <w:lang w:val="en-US"/>
        </w:rPr>
        <w:t>:</w:t>
      </w:r>
      <w:r w:rsidR="00B47D91" w:rsidRPr="005D0571">
        <w:rPr>
          <w:lang w:val="en-US"/>
        </w:rPr>
        <w:t xml:space="preserve"> </w:t>
      </w:r>
      <w:r w:rsidRPr="005D0571">
        <w:rPr>
          <w:lang w:val="en-US"/>
        </w:rPr>
        <w:t>Flux data and products should be made more easily available to both the research and operational communities and the benefits of aggregation of high quality flux data should be promoted. Improved metadata, including on dataset characteristics and suitability for particular applications should be produced, both by dataset producers and providers.</w:t>
      </w:r>
    </w:p>
    <w:p w14:paraId="68D17122" w14:textId="77777777" w:rsidR="00944DB2" w:rsidRPr="005D0571" w:rsidRDefault="00944DB2" w:rsidP="00944DB2">
      <w:pPr>
        <w:pStyle w:val="Heading1"/>
        <w:rPr>
          <w:b/>
          <w:lang w:val="en-US"/>
        </w:rPr>
      </w:pPr>
      <w:r w:rsidRPr="005D0571">
        <w:rPr>
          <w:b/>
          <w:lang w:val="en-US"/>
        </w:rPr>
        <w:t>REFERENCES</w:t>
      </w:r>
    </w:p>
    <w:p w14:paraId="45EE1405" w14:textId="3181C78A" w:rsidR="00C652D6" w:rsidRPr="00FD2DEF" w:rsidRDefault="00FD2DEF" w:rsidP="00FD2DEF">
      <w:pPr>
        <w:pStyle w:val="TOC1"/>
        <w:rPr>
          <w:lang w:val="en-US"/>
        </w:rPr>
      </w:pPr>
      <w:r>
        <w:rPr>
          <w:lang w:val="en-US"/>
        </w:rPr>
        <w:t xml:space="preserve"> </w:t>
      </w:r>
      <w:proofErr w:type="spellStart"/>
      <w:r>
        <w:rPr>
          <w:lang w:val="en-US"/>
        </w:rPr>
        <w:t>Fairall</w:t>
      </w:r>
      <w:proofErr w:type="spellEnd"/>
      <w:r>
        <w:rPr>
          <w:lang w:val="en-US"/>
        </w:rPr>
        <w:t xml:space="preserve"> et al.</w:t>
      </w:r>
      <w:r w:rsidR="00D54180">
        <w:rPr>
          <w:lang w:val="en-US"/>
        </w:rPr>
        <w:t xml:space="preserve"> (</w:t>
      </w:r>
      <w:r w:rsidRPr="00FD2DEF">
        <w:rPr>
          <w:lang w:val="en-US"/>
        </w:rPr>
        <w:t>2010</w:t>
      </w:r>
      <w:r w:rsidR="00D54180">
        <w:rPr>
          <w:lang w:val="en-US"/>
        </w:rPr>
        <w:t>).</w:t>
      </w:r>
      <w:r w:rsidRPr="00FD2DEF">
        <w:rPr>
          <w:lang w:val="en-US"/>
        </w:rPr>
        <w:t xml:space="preserve">  Observations to Quantify Air-Sea Fluxes and Their Role in Climate Variability and Predictability in </w:t>
      </w:r>
      <w:r w:rsidRPr="00FD2DEF">
        <w:rPr>
          <w:i/>
          <w:lang w:val="en-US"/>
        </w:rPr>
        <w:t xml:space="preserve">Proceedings of OceanObs’09: Sustained Ocean Observations and Information for Society (Vol. 2), </w:t>
      </w:r>
      <w:r w:rsidRPr="00FD2DEF">
        <w:rPr>
          <w:lang w:val="en-US"/>
        </w:rPr>
        <w:t>Venice, Italy, 21-25 September 2009, Hall, J., Harrison D.E. &amp; Stammer, D.,</w:t>
      </w:r>
      <w:r>
        <w:rPr>
          <w:lang w:val="en-US"/>
        </w:rPr>
        <w:t xml:space="preserve"> Eds., ESA Publication WPP-306.</w:t>
      </w:r>
    </w:p>
    <w:p w14:paraId="7143EF1F" w14:textId="1530DF1D" w:rsidR="00125F62" w:rsidRDefault="00125F62" w:rsidP="00125F62">
      <w:pPr>
        <w:pStyle w:val="TOC1"/>
      </w:pPr>
      <w:r>
        <w:lastRenderedPageBreak/>
        <w:t>Bourassa, M.,</w:t>
      </w:r>
      <w:r w:rsidRPr="001619D9">
        <w:rPr>
          <w:color w:val="000000"/>
          <w:szCs w:val="24"/>
        </w:rPr>
        <w:t xml:space="preserve"> </w:t>
      </w:r>
      <w:r>
        <w:t>S.</w:t>
      </w:r>
      <w:r w:rsidRPr="001619D9">
        <w:t xml:space="preserve"> </w:t>
      </w:r>
      <w:proofErr w:type="spellStart"/>
      <w:r w:rsidRPr="001619D9">
        <w:t>Gille</w:t>
      </w:r>
      <w:proofErr w:type="spellEnd"/>
      <w:r>
        <w:t>, C.</w:t>
      </w:r>
      <w:r w:rsidRPr="001619D9">
        <w:t xml:space="preserve"> </w:t>
      </w:r>
      <w:proofErr w:type="spellStart"/>
      <w:r w:rsidRPr="001619D9">
        <w:t>Bitz</w:t>
      </w:r>
      <w:proofErr w:type="spellEnd"/>
      <w:r>
        <w:t>, D.</w:t>
      </w:r>
      <w:r w:rsidRPr="001619D9">
        <w:t xml:space="preserve"> Carlson</w:t>
      </w:r>
      <w:r>
        <w:t>, I.</w:t>
      </w:r>
      <w:r w:rsidRPr="001619D9">
        <w:t xml:space="preserve"> </w:t>
      </w:r>
      <w:proofErr w:type="spellStart"/>
      <w:r w:rsidRPr="001619D9">
        <w:t>Cerovecki</w:t>
      </w:r>
      <w:proofErr w:type="spellEnd"/>
      <w:r>
        <w:t>, M.</w:t>
      </w:r>
      <w:r w:rsidRPr="001619D9">
        <w:t xml:space="preserve"> Cronin</w:t>
      </w:r>
      <w:r>
        <w:t>, W.</w:t>
      </w:r>
      <w:r w:rsidRPr="001619D9">
        <w:t xml:space="preserve"> </w:t>
      </w:r>
      <w:proofErr w:type="spellStart"/>
      <w:r w:rsidRPr="001619D9">
        <w:t>Drennan</w:t>
      </w:r>
      <w:proofErr w:type="spellEnd"/>
      <w:r w:rsidRPr="001619D9">
        <w:t>, C</w:t>
      </w:r>
      <w:r>
        <w:t>.</w:t>
      </w:r>
      <w:r w:rsidRPr="001619D9">
        <w:t xml:space="preserve"> </w:t>
      </w:r>
      <w:proofErr w:type="spellStart"/>
      <w:r w:rsidRPr="001619D9">
        <w:t>Fairall</w:t>
      </w:r>
      <w:proofErr w:type="spellEnd"/>
      <w:r>
        <w:t>, R.</w:t>
      </w:r>
      <w:r w:rsidRPr="001619D9">
        <w:t xml:space="preserve"> Hoffman</w:t>
      </w:r>
      <w:r>
        <w:t>, G.</w:t>
      </w:r>
      <w:r w:rsidRPr="001619D9">
        <w:t xml:space="preserve"> </w:t>
      </w:r>
      <w:proofErr w:type="spellStart"/>
      <w:r w:rsidRPr="001619D9">
        <w:t>Magnusdottir</w:t>
      </w:r>
      <w:proofErr w:type="spellEnd"/>
      <w:r>
        <w:t>, R.</w:t>
      </w:r>
      <w:r w:rsidRPr="001619D9">
        <w:t xml:space="preserve"> Pinker</w:t>
      </w:r>
      <w:r>
        <w:t>, I.</w:t>
      </w:r>
      <w:r w:rsidRPr="001619D9">
        <w:t xml:space="preserve"> Renfrew</w:t>
      </w:r>
      <w:r>
        <w:t>, M.</w:t>
      </w:r>
      <w:r w:rsidRPr="001619D9">
        <w:t xml:space="preserve"> </w:t>
      </w:r>
      <w:proofErr w:type="spellStart"/>
      <w:r w:rsidRPr="001619D9">
        <w:t>Serreze</w:t>
      </w:r>
      <w:proofErr w:type="spellEnd"/>
      <w:r w:rsidRPr="001619D9">
        <w:t>, K</w:t>
      </w:r>
      <w:r>
        <w:t>.</w:t>
      </w:r>
      <w:r w:rsidRPr="001619D9">
        <w:t xml:space="preserve"> Speer</w:t>
      </w:r>
      <w:r>
        <w:t xml:space="preserve">, L. </w:t>
      </w:r>
      <w:r w:rsidRPr="001619D9">
        <w:t>Talley</w:t>
      </w:r>
      <w:r>
        <w:t>, and G.</w:t>
      </w:r>
      <w:r w:rsidRPr="001619D9">
        <w:t xml:space="preserve"> Wick</w:t>
      </w:r>
      <w:r w:rsidR="00C9646C">
        <w:t xml:space="preserve"> (</w:t>
      </w:r>
      <w:r>
        <w:t>2011</w:t>
      </w:r>
      <w:r w:rsidR="00C9646C">
        <w:t>).</w:t>
      </w:r>
      <w:r>
        <w:t xml:space="preserve"> </w:t>
      </w:r>
      <w:r w:rsidRPr="001619D9">
        <w:t xml:space="preserve"> </w:t>
      </w:r>
      <w:r>
        <w:rPr>
          <w:bCs/>
        </w:rPr>
        <w:t>High-Latitude o</w:t>
      </w:r>
      <w:r w:rsidRPr="001619D9">
        <w:rPr>
          <w:bCs/>
        </w:rPr>
        <w:t xml:space="preserve">cean and </w:t>
      </w:r>
      <w:r>
        <w:rPr>
          <w:bCs/>
        </w:rPr>
        <w:t>s</w:t>
      </w:r>
      <w:r w:rsidRPr="001619D9">
        <w:rPr>
          <w:bCs/>
        </w:rPr>
        <w:t xml:space="preserve">ea </w:t>
      </w:r>
      <w:r>
        <w:rPr>
          <w:bCs/>
        </w:rPr>
        <w:t>i</w:t>
      </w:r>
      <w:r w:rsidRPr="001619D9">
        <w:rPr>
          <w:bCs/>
        </w:rPr>
        <w:t xml:space="preserve">ce </w:t>
      </w:r>
      <w:r>
        <w:rPr>
          <w:bCs/>
        </w:rPr>
        <w:t>s</w:t>
      </w:r>
      <w:r w:rsidRPr="001619D9">
        <w:rPr>
          <w:bCs/>
        </w:rPr>
        <w:t xml:space="preserve">urface </w:t>
      </w:r>
      <w:r>
        <w:rPr>
          <w:bCs/>
        </w:rPr>
        <w:t>f</w:t>
      </w:r>
      <w:r w:rsidRPr="001619D9">
        <w:rPr>
          <w:bCs/>
        </w:rPr>
        <w:t xml:space="preserve">luxes: Requirements and </w:t>
      </w:r>
      <w:r>
        <w:rPr>
          <w:bCs/>
        </w:rPr>
        <w:t>c</w:t>
      </w:r>
      <w:r w:rsidRPr="001619D9">
        <w:rPr>
          <w:bCs/>
        </w:rPr>
        <w:t xml:space="preserve">hallenges for </w:t>
      </w:r>
      <w:r>
        <w:rPr>
          <w:bCs/>
        </w:rPr>
        <w:t>c</w:t>
      </w:r>
      <w:r w:rsidRPr="001619D9">
        <w:rPr>
          <w:bCs/>
        </w:rPr>
        <w:t xml:space="preserve">limate </w:t>
      </w:r>
      <w:r>
        <w:rPr>
          <w:bCs/>
        </w:rPr>
        <w:t>r</w:t>
      </w:r>
      <w:r w:rsidRPr="001619D9">
        <w:rPr>
          <w:bCs/>
        </w:rPr>
        <w:t>esearch</w:t>
      </w:r>
      <w:r>
        <w:rPr>
          <w:bCs/>
        </w:rPr>
        <w:t xml:space="preserve">.  </w:t>
      </w:r>
      <w:r w:rsidRPr="001619D9">
        <w:rPr>
          <w:bCs/>
          <w:i/>
        </w:rPr>
        <w:t>Bull. Am. Met. Soc.</w:t>
      </w:r>
      <w:r>
        <w:rPr>
          <w:bCs/>
        </w:rPr>
        <w:t>, to appear.</w:t>
      </w:r>
    </w:p>
    <w:p w14:paraId="0E1F14F4" w14:textId="77777777" w:rsidR="00944DB2" w:rsidRDefault="00944DB2" w:rsidP="00506B51">
      <w:pPr>
        <w:pStyle w:val="TOC1"/>
        <w:rPr>
          <w:lang w:val="en-US"/>
        </w:rPr>
      </w:pPr>
      <w:r w:rsidRPr="005D0571">
        <w:rPr>
          <w:lang w:val="en-US"/>
        </w:rPr>
        <w:t xml:space="preserve">Webster, P.A., &amp; Lukas, R., (1992). The Coupled Ocean-Atmosphere Response Experiment. </w:t>
      </w:r>
      <w:r w:rsidRPr="005D0571">
        <w:rPr>
          <w:i/>
          <w:lang w:val="en-US"/>
        </w:rPr>
        <w:t>Bull. Am. Met. Soc.</w:t>
      </w:r>
      <w:r w:rsidRPr="005D0571">
        <w:rPr>
          <w:lang w:val="en-US"/>
        </w:rPr>
        <w:t xml:space="preserve">, </w:t>
      </w:r>
      <w:r w:rsidRPr="005D0571">
        <w:rPr>
          <w:b/>
          <w:lang w:val="en-US"/>
        </w:rPr>
        <w:t>73</w:t>
      </w:r>
      <w:r w:rsidRPr="005D0571">
        <w:rPr>
          <w:lang w:val="en-US"/>
        </w:rPr>
        <w:t>, 1377-1416.</w:t>
      </w:r>
    </w:p>
    <w:p w14:paraId="4E2B6239" w14:textId="77777777" w:rsidR="00125F62" w:rsidRPr="000A1676" w:rsidRDefault="00125F62" w:rsidP="00125F62">
      <w:pPr>
        <w:pStyle w:val="TOC1"/>
        <w:rPr>
          <w:lang w:val="en-US"/>
        </w:rPr>
      </w:pPr>
      <w:proofErr w:type="spellStart"/>
      <w:r w:rsidRPr="000A1676">
        <w:rPr>
          <w:lang w:val="en-US"/>
        </w:rPr>
        <w:t>Clayson</w:t>
      </w:r>
      <w:proofErr w:type="spellEnd"/>
      <w:r w:rsidRPr="000A1676">
        <w:rPr>
          <w:lang w:val="en-US"/>
        </w:rPr>
        <w:t xml:space="preserve">, C.A. &amp; Co-Authors (2011). Results of the </w:t>
      </w:r>
      <w:proofErr w:type="spellStart"/>
      <w:r w:rsidRPr="000A1676">
        <w:rPr>
          <w:lang w:val="en-US"/>
        </w:rPr>
        <w:t>SeaFlux</w:t>
      </w:r>
      <w:proofErr w:type="spellEnd"/>
      <w:r w:rsidRPr="000A1676">
        <w:rPr>
          <w:lang w:val="en-US"/>
        </w:rPr>
        <w:t xml:space="preserve"> </w:t>
      </w:r>
      <w:proofErr w:type="spellStart"/>
      <w:r w:rsidRPr="000A1676">
        <w:rPr>
          <w:lang w:val="en-US"/>
        </w:rPr>
        <w:t>Intercomparison</w:t>
      </w:r>
      <w:proofErr w:type="spellEnd"/>
      <w:r w:rsidRPr="000A1676">
        <w:rPr>
          <w:lang w:val="en-US"/>
        </w:rPr>
        <w:t xml:space="preserve"> Project. </w:t>
      </w:r>
      <w:r w:rsidRPr="000A1676">
        <w:rPr>
          <w:i/>
          <w:lang w:val="en-US"/>
        </w:rPr>
        <w:t xml:space="preserve">Bull. Amer. </w:t>
      </w:r>
      <w:proofErr w:type="spellStart"/>
      <w:r w:rsidRPr="000A1676">
        <w:rPr>
          <w:i/>
          <w:lang w:val="en-US"/>
        </w:rPr>
        <w:t>Meteorol</w:t>
      </w:r>
      <w:proofErr w:type="spellEnd"/>
      <w:r w:rsidRPr="000A1676">
        <w:rPr>
          <w:i/>
          <w:lang w:val="en-US"/>
        </w:rPr>
        <w:t>. Soc.</w:t>
      </w:r>
      <w:r w:rsidRPr="000A1676">
        <w:rPr>
          <w:lang w:val="en-US"/>
        </w:rPr>
        <w:t>, submitted.</w:t>
      </w:r>
    </w:p>
    <w:p w14:paraId="42983D48" w14:textId="58C868E1" w:rsidR="00944DB2" w:rsidRDefault="00944DB2" w:rsidP="00506B51">
      <w:pPr>
        <w:pStyle w:val="TOC1"/>
      </w:pPr>
      <w:proofErr w:type="spellStart"/>
      <w:r w:rsidRPr="00C36141">
        <w:rPr>
          <w:lang w:val="en-US"/>
        </w:rPr>
        <w:t>McPhaden</w:t>
      </w:r>
      <w:proofErr w:type="spellEnd"/>
      <w:r w:rsidRPr="00C36141">
        <w:rPr>
          <w:lang w:val="en-US"/>
        </w:rPr>
        <w:t xml:space="preserve"> M.J. &amp; Co-Authors (2009). RAMA: The Research Moored Array for African-Asian-Australian Monsoon Analysis and Prediction. </w:t>
      </w:r>
      <w:r w:rsidRPr="00C36141">
        <w:rPr>
          <w:i/>
          <w:lang w:val="en-US"/>
        </w:rPr>
        <w:t>Bull. Am. Met. Soc</w:t>
      </w:r>
      <w:r w:rsidRPr="00C36141">
        <w:rPr>
          <w:lang w:val="en-US"/>
        </w:rPr>
        <w:t xml:space="preserve">., </w:t>
      </w:r>
      <w:r w:rsidRPr="00C36141">
        <w:rPr>
          <w:b/>
          <w:lang w:val="en-US"/>
        </w:rPr>
        <w:t>90</w:t>
      </w:r>
      <w:r w:rsidRPr="00C36141">
        <w:rPr>
          <w:lang w:val="en-US"/>
        </w:rPr>
        <w:t xml:space="preserve">, 459–480. </w:t>
      </w:r>
      <w:r>
        <w:rPr>
          <w:rStyle w:val="frlabel"/>
        </w:rPr>
        <w:t>DOI:</w:t>
      </w:r>
      <w:r>
        <w:t xml:space="preserve"> 10.1175/2008BAMS2608.1.</w:t>
      </w:r>
    </w:p>
    <w:p w14:paraId="5AC56B89" w14:textId="77777777" w:rsidR="00042EC8" w:rsidRDefault="00042EC8" w:rsidP="00042EC8">
      <w:pPr>
        <w:pStyle w:val="TOC1"/>
      </w:pPr>
      <w:r>
        <w:t xml:space="preserve">Woodruff, S.D., </w:t>
      </w:r>
      <w:r w:rsidRPr="00D87DEA">
        <w:t>Worley</w:t>
      </w:r>
      <w:r>
        <w:t xml:space="preserve">, S.J., </w:t>
      </w:r>
      <w:proofErr w:type="spellStart"/>
      <w:r w:rsidRPr="00D87DEA">
        <w:t>Lubker</w:t>
      </w:r>
      <w:proofErr w:type="spellEnd"/>
      <w:r>
        <w:t xml:space="preserve">, S.J., </w:t>
      </w:r>
      <w:proofErr w:type="spellStart"/>
      <w:r w:rsidRPr="00D87DEA">
        <w:t>Ji</w:t>
      </w:r>
      <w:proofErr w:type="spellEnd"/>
      <w:r>
        <w:t xml:space="preserve">, Z., </w:t>
      </w:r>
      <w:r w:rsidRPr="00D87DEA">
        <w:t>Freeman</w:t>
      </w:r>
      <w:r>
        <w:t xml:space="preserve">, J.E., </w:t>
      </w:r>
      <w:r w:rsidRPr="00D87DEA">
        <w:t>Berry</w:t>
      </w:r>
      <w:r>
        <w:t xml:space="preserve">, D.I., </w:t>
      </w:r>
      <w:proofErr w:type="spellStart"/>
      <w:r w:rsidRPr="00D87DEA">
        <w:t>Brohan</w:t>
      </w:r>
      <w:proofErr w:type="spellEnd"/>
      <w:r>
        <w:t xml:space="preserve">, P., </w:t>
      </w:r>
      <w:r w:rsidRPr="00D87DEA">
        <w:t>Kent</w:t>
      </w:r>
      <w:r>
        <w:t xml:space="preserve">, E.C., </w:t>
      </w:r>
      <w:r w:rsidRPr="00D87DEA">
        <w:t>Reynolds</w:t>
      </w:r>
      <w:r>
        <w:t xml:space="preserve"> R.W., </w:t>
      </w:r>
      <w:r w:rsidRPr="00D87DEA">
        <w:t>Smith</w:t>
      </w:r>
      <w:r>
        <w:t xml:space="preserve">, S.R., &amp; </w:t>
      </w:r>
      <w:r w:rsidRPr="00D87DEA">
        <w:t>Wilkinson</w:t>
      </w:r>
      <w:r>
        <w:t>, C. (2011).</w:t>
      </w:r>
      <w:r w:rsidRPr="00D87DEA">
        <w:t xml:space="preserve"> ICOADS Release 2.5: Extensions and enhancements to the surface marine meteorological archive. </w:t>
      </w:r>
      <w:r w:rsidRPr="00332355">
        <w:rPr>
          <w:i/>
        </w:rPr>
        <w:t xml:space="preserve">Int. J. </w:t>
      </w:r>
      <w:proofErr w:type="spellStart"/>
      <w:r w:rsidRPr="00332355">
        <w:rPr>
          <w:i/>
        </w:rPr>
        <w:t>Climatol</w:t>
      </w:r>
      <w:proofErr w:type="spellEnd"/>
      <w:r w:rsidRPr="00332355">
        <w:rPr>
          <w:i/>
        </w:rPr>
        <w:t>.</w:t>
      </w:r>
      <w:r w:rsidRPr="00D87DEA">
        <w:t xml:space="preserve">, </w:t>
      </w:r>
      <w:r w:rsidRPr="00DB263E">
        <w:rPr>
          <w:b/>
        </w:rPr>
        <w:t>31</w:t>
      </w:r>
      <w:r>
        <w:t>, 951-967, doi:10.1002/joc.2103</w:t>
      </w:r>
      <w:r w:rsidRPr="00D87DEA">
        <w:t>.</w:t>
      </w:r>
    </w:p>
    <w:p w14:paraId="5ACB3164" w14:textId="77777777" w:rsidR="00BF5A2A" w:rsidRPr="005D0571" w:rsidRDefault="00BF5A2A" w:rsidP="00BF5A2A">
      <w:pPr>
        <w:pStyle w:val="TOC1"/>
        <w:rPr>
          <w:lang w:val="en-US"/>
        </w:rPr>
      </w:pPr>
      <w:proofErr w:type="spellStart"/>
      <w:r w:rsidRPr="005D0571">
        <w:rPr>
          <w:lang w:val="en-US"/>
        </w:rPr>
        <w:t>Yelland</w:t>
      </w:r>
      <w:proofErr w:type="spellEnd"/>
      <w:r w:rsidRPr="005D0571">
        <w:rPr>
          <w:lang w:val="en-US"/>
        </w:rPr>
        <w:t xml:space="preserve">, M.J., Pascal, R.W., Taylor P.K. &amp; Moat, B.I. (2009). </w:t>
      </w:r>
      <w:proofErr w:type="spellStart"/>
      <w:r w:rsidRPr="005D0571">
        <w:rPr>
          <w:lang w:val="en-US"/>
        </w:rPr>
        <w:t>AutoFlux</w:t>
      </w:r>
      <w:proofErr w:type="spellEnd"/>
      <w:r w:rsidRPr="005D0571">
        <w:rPr>
          <w:lang w:val="en-US"/>
        </w:rPr>
        <w:t>: an autonomous system for the direct measurement of the air-sea fluxes of CO</w:t>
      </w:r>
      <w:r w:rsidRPr="005D0571">
        <w:rPr>
          <w:vertAlign w:val="subscript"/>
          <w:lang w:val="en-US"/>
        </w:rPr>
        <w:t>2</w:t>
      </w:r>
      <w:r w:rsidRPr="005D0571">
        <w:rPr>
          <w:lang w:val="en-US"/>
        </w:rPr>
        <w:t>, heat and momentum.</w:t>
      </w:r>
      <w:r w:rsidRPr="005D0571">
        <w:rPr>
          <w:i/>
          <w:lang w:val="en-US"/>
        </w:rPr>
        <w:t xml:space="preserve"> J. Operational </w:t>
      </w:r>
      <w:proofErr w:type="spellStart"/>
      <w:r w:rsidRPr="005D0571">
        <w:rPr>
          <w:i/>
          <w:lang w:val="en-US"/>
        </w:rPr>
        <w:t>Oceanog</w:t>
      </w:r>
      <w:proofErr w:type="spellEnd"/>
      <w:r w:rsidRPr="005D0571">
        <w:rPr>
          <w:i/>
          <w:lang w:val="en-US"/>
        </w:rPr>
        <w:t>.</w:t>
      </w:r>
      <w:r w:rsidRPr="005D0571">
        <w:rPr>
          <w:lang w:val="en-US"/>
        </w:rPr>
        <w:t xml:space="preserve">, </w:t>
      </w:r>
      <w:r w:rsidRPr="005D0571">
        <w:rPr>
          <w:b/>
          <w:lang w:val="en-US"/>
        </w:rPr>
        <w:t>2</w:t>
      </w:r>
      <w:r w:rsidRPr="005D0571">
        <w:rPr>
          <w:lang w:val="en-US"/>
        </w:rPr>
        <w:t>, 15-23.</w:t>
      </w:r>
      <w:r>
        <w:rPr>
          <w:lang w:val="en-US"/>
        </w:rPr>
        <w:t xml:space="preserve"> </w:t>
      </w:r>
    </w:p>
    <w:p w14:paraId="7F24777C" w14:textId="5067E1F6" w:rsidR="00BF5A2A" w:rsidRDefault="00BF5A2A" w:rsidP="00BF5A2A">
      <w:pPr>
        <w:pStyle w:val="TOC1"/>
      </w:pPr>
      <w:r w:rsidRPr="00472A16">
        <w:t>Bourassa, M.A.,</w:t>
      </w:r>
      <w:r w:rsidRPr="00A12D46">
        <w:t xml:space="preserve"> S. </w:t>
      </w:r>
      <w:proofErr w:type="spellStart"/>
      <w:r w:rsidRPr="00A12D46">
        <w:t>Gille</w:t>
      </w:r>
      <w:proofErr w:type="spellEnd"/>
      <w:r w:rsidRPr="00A12D46">
        <w:t>, D.L. Jackson, B.J. Roberts, and G.A. Wick</w:t>
      </w:r>
      <w:r w:rsidR="00C9646C">
        <w:t xml:space="preserve"> (</w:t>
      </w:r>
      <w:r w:rsidRPr="00A12D46">
        <w:t>2010</w:t>
      </w:r>
      <w:r w:rsidR="00C9646C">
        <w:t>).</w:t>
      </w:r>
      <w:r w:rsidRPr="00A12D46">
        <w:t xml:space="preserve"> Ocean Winds and Turbulent Air-</w:t>
      </w:r>
      <w:r>
        <w:t xml:space="preserve">Sea Fluxes Inferred From Remote </w:t>
      </w:r>
      <w:r w:rsidRPr="00A12D46">
        <w:t>Sensing.</w:t>
      </w:r>
      <w:r w:rsidRPr="00A12D46">
        <w:rPr>
          <w:i/>
        </w:rPr>
        <w:t xml:space="preserve"> Oceanography</w:t>
      </w:r>
      <w:r w:rsidRPr="00A12D46">
        <w:t xml:space="preserve">, </w:t>
      </w:r>
      <w:r w:rsidRPr="00A12D46">
        <w:rPr>
          <w:b/>
        </w:rPr>
        <w:t>23</w:t>
      </w:r>
      <w:r w:rsidRPr="00A12D46">
        <w:t>, 36-51.</w:t>
      </w:r>
    </w:p>
    <w:p w14:paraId="7CBC040B" w14:textId="77777777" w:rsidR="00506B51" w:rsidRDefault="00944DB2" w:rsidP="00506B51">
      <w:pPr>
        <w:pStyle w:val="TOC1"/>
        <w:rPr>
          <w:lang w:val="en-US"/>
        </w:rPr>
      </w:pPr>
      <w:r w:rsidRPr="005D0571">
        <w:rPr>
          <w:lang w:val="en-US"/>
        </w:rPr>
        <w:t xml:space="preserve">Large, W., &amp; Yeager, S., (2009). The global climatology of an </w:t>
      </w:r>
      <w:proofErr w:type="spellStart"/>
      <w:r w:rsidRPr="005D0571">
        <w:rPr>
          <w:lang w:val="en-US"/>
        </w:rPr>
        <w:t>interannually</w:t>
      </w:r>
      <w:proofErr w:type="spellEnd"/>
      <w:r w:rsidRPr="005D0571">
        <w:rPr>
          <w:lang w:val="en-US"/>
        </w:rPr>
        <w:t xml:space="preserve"> varying air-sea flux data set. </w:t>
      </w:r>
      <w:proofErr w:type="spellStart"/>
      <w:r w:rsidRPr="005D0571">
        <w:rPr>
          <w:i/>
          <w:lang w:val="en-US"/>
        </w:rPr>
        <w:t>Clim</w:t>
      </w:r>
      <w:proofErr w:type="spellEnd"/>
      <w:r w:rsidRPr="005D0571">
        <w:rPr>
          <w:i/>
          <w:lang w:val="en-US"/>
        </w:rPr>
        <w:t>. Dynamics,</w:t>
      </w:r>
      <w:r>
        <w:rPr>
          <w:i/>
          <w:lang w:val="en-US"/>
        </w:rPr>
        <w:t xml:space="preserve"> </w:t>
      </w:r>
      <w:r>
        <w:rPr>
          <w:b/>
          <w:lang w:val="en-US"/>
        </w:rPr>
        <w:t xml:space="preserve">33, </w:t>
      </w:r>
      <w:r>
        <w:t>341-364.</w:t>
      </w:r>
      <w:r w:rsidRPr="005D0571">
        <w:rPr>
          <w:lang w:val="en-US"/>
        </w:rPr>
        <w:t xml:space="preserve"> DOI 10.1007/s00382-008-0441-3. </w:t>
      </w:r>
    </w:p>
    <w:p w14:paraId="53F42609" w14:textId="77777777" w:rsidR="00944DB2" w:rsidRPr="00506B51" w:rsidRDefault="00944DB2" w:rsidP="00506B51">
      <w:pPr>
        <w:pStyle w:val="TOC1"/>
        <w:rPr>
          <w:lang w:val="en-US"/>
        </w:rPr>
      </w:pPr>
      <w:proofErr w:type="spellStart"/>
      <w:r w:rsidRPr="00506B51">
        <w:rPr>
          <w:lang w:val="en-US"/>
        </w:rPr>
        <w:t>Sterl</w:t>
      </w:r>
      <w:proofErr w:type="spellEnd"/>
      <w:r w:rsidRPr="00506B51">
        <w:rPr>
          <w:lang w:val="en-US"/>
        </w:rPr>
        <w:t xml:space="preserve">, A., (2004). On the (In)Homogeneity of reanalysis products. </w:t>
      </w:r>
      <w:r w:rsidRPr="00506B51">
        <w:rPr>
          <w:i/>
          <w:lang w:val="en-US"/>
        </w:rPr>
        <w:t xml:space="preserve">J. </w:t>
      </w:r>
      <w:proofErr w:type="spellStart"/>
      <w:r w:rsidRPr="00506B51">
        <w:rPr>
          <w:i/>
          <w:lang w:val="en-US"/>
        </w:rPr>
        <w:t>Clim</w:t>
      </w:r>
      <w:proofErr w:type="spellEnd"/>
      <w:r w:rsidRPr="00506B51">
        <w:rPr>
          <w:i/>
          <w:lang w:val="en-US"/>
        </w:rPr>
        <w:t>.</w:t>
      </w:r>
      <w:r w:rsidRPr="00506B51">
        <w:rPr>
          <w:lang w:val="en-US"/>
        </w:rPr>
        <w:t xml:space="preserve">, </w:t>
      </w:r>
      <w:r w:rsidRPr="00506B51">
        <w:rPr>
          <w:b/>
          <w:lang w:val="en-US"/>
        </w:rPr>
        <w:t>17</w:t>
      </w:r>
      <w:r w:rsidRPr="00506B51">
        <w:rPr>
          <w:lang w:val="en-US"/>
        </w:rPr>
        <w:t>, 3866–3873.</w:t>
      </w:r>
    </w:p>
    <w:p w14:paraId="586413D7" w14:textId="77777777" w:rsidR="00944DB2" w:rsidRDefault="00944DB2" w:rsidP="00506B51">
      <w:pPr>
        <w:pStyle w:val="TOC1"/>
      </w:pPr>
      <w:proofErr w:type="spellStart"/>
      <w:r w:rsidRPr="005D0571">
        <w:rPr>
          <w:lang w:val="en-US"/>
        </w:rPr>
        <w:t>Gulev</w:t>
      </w:r>
      <w:proofErr w:type="spellEnd"/>
      <w:r w:rsidRPr="005D0571">
        <w:rPr>
          <w:lang w:val="en-US"/>
        </w:rPr>
        <w:t xml:space="preserve">, S.K., Jung, T. &amp; </w:t>
      </w:r>
      <w:proofErr w:type="spellStart"/>
      <w:r w:rsidRPr="005D0571">
        <w:rPr>
          <w:lang w:val="en-US"/>
        </w:rPr>
        <w:t>Ruprecht</w:t>
      </w:r>
      <w:proofErr w:type="spellEnd"/>
      <w:r w:rsidRPr="005D0571">
        <w:rPr>
          <w:lang w:val="en-US"/>
        </w:rPr>
        <w:t xml:space="preserve">, E. (2007). Estimation of the impact of sampling errors in the VOS observations on air-sea fluxes. Part II. Impact on trends and interannual variability. </w:t>
      </w:r>
      <w:r w:rsidRPr="005D0571">
        <w:rPr>
          <w:i/>
          <w:lang w:val="en-US"/>
        </w:rPr>
        <w:t>J. Climate</w:t>
      </w:r>
      <w:r w:rsidRPr="005D0571">
        <w:rPr>
          <w:lang w:val="en-US"/>
        </w:rPr>
        <w:t xml:space="preserve">, </w:t>
      </w:r>
      <w:r w:rsidRPr="00542F98">
        <w:rPr>
          <w:b/>
          <w:lang w:val="en-US"/>
        </w:rPr>
        <w:t>20</w:t>
      </w:r>
      <w:r w:rsidRPr="005D0571">
        <w:rPr>
          <w:lang w:val="en-US"/>
        </w:rPr>
        <w:t>,</w:t>
      </w:r>
      <w:r w:rsidRPr="00542F98">
        <w:t xml:space="preserve"> </w:t>
      </w:r>
      <w:r>
        <w:t>D</w:t>
      </w:r>
      <w:r>
        <w:rPr>
          <w:rStyle w:val="frlabel"/>
        </w:rPr>
        <w:t>OI:</w:t>
      </w:r>
      <w:r>
        <w:t xml:space="preserve"> 10.1175/JCLI4008.1.</w:t>
      </w:r>
    </w:p>
    <w:p w14:paraId="2287EFA3" w14:textId="77777777" w:rsidR="00BF5A2A" w:rsidRDefault="00BF5A2A" w:rsidP="00BF5A2A">
      <w:pPr>
        <w:pStyle w:val="TOC1"/>
      </w:pPr>
      <w:r w:rsidRPr="005D0571">
        <w:rPr>
          <w:lang w:val="en-US"/>
        </w:rPr>
        <w:t xml:space="preserve">Pinker, R.T., Wang, H. &amp; </w:t>
      </w:r>
      <w:proofErr w:type="spellStart"/>
      <w:r w:rsidRPr="005D0571">
        <w:rPr>
          <w:lang w:val="en-US"/>
        </w:rPr>
        <w:t>Grodsky</w:t>
      </w:r>
      <w:proofErr w:type="spellEnd"/>
      <w:r w:rsidRPr="005D0571">
        <w:rPr>
          <w:lang w:val="en-US"/>
        </w:rPr>
        <w:t xml:space="preserve">, S.A. (2009). How good are ocean buoy observations of radiative fluxes? </w:t>
      </w:r>
      <w:proofErr w:type="spellStart"/>
      <w:r w:rsidRPr="005D0571">
        <w:rPr>
          <w:i/>
          <w:lang w:val="en-US"/>
        </w:rPr>
        <w:t>Geophys</w:t>
      </w:r>
      <w:proofErr w:type="spellEnd"/>
      <w:r w:rsidRPr="005D0571">
        <w:rPr>
          <w:i/>
          <w:lang w:val="en-US"/>
        </w:rPr>
        <w:t xml:space="preserve">. Res. </w:t>
      </w:r>
      <w:proofErr w:type="spellStart"/>
      <w:r w:rsidRPr="005D0571">
        <w:rPr>
          <w:i/>
          <w:lang w:val="en-US"/>
        </w:rPr>
        <w:t>Lett</w:t>
      </w:r>
      <w:proofErr w:type="spellEnd"/>
      <w:r w:rsidRPr="005D0571">
        <w:rPr>
          <w:i/>
          <w:lang w:val="en-US"/>
        </w:rPr>
        <w:t>.</w:t>
      </w:r>
      <w:r w:rsidRPr="005D0571">
        <w:rPr>
          <w:lang w:val="en-US"/>
        </w:rPr>
        <w:t xml:space="preserve">, </w:t>
      </w:r>
      <w:r w:rsidRPr="005D0571">
        <w:rPr>
          <w:b/>
          <w:lang w:val="en-US"/>
        </w:rPr>
        <w:t>36</w:t>
      </w:r>
      <w:r>
        <w:rPr>
          <w:lang w:val="en-US"/>
        </w:rPr>
        <w:t>, L10811.</w:t>
      </w:r>
      <w:r w:rsidRPr="00D0002E">
        <w:t xml:space="preserve"> </w:t>
      </w:r>
      <w:r>
        <w:rPr>
          <w:rStyle w:val="frlabel"/>
        </w:rPr>
        <w:t>DOI:</w:t>
      </w:r>
      <w:r>
        <w:t xml:space="preserve"> 10.1029/2009GL037840.</w:t>
      </w:r>
    </w:p>
    <w:p w14:paraId="125A0084" w14:textId="77777777" w:rsidR="00944DB2" w:rsidRPr="005D0571" w:rsidRDefault="00944DB2" w:rsidP="00506B51">
      <w:pPr>
        <w:pStyle w:val="TOC1"/>
        <w:rPr>
          <w:lang w:val="en-US"/>
        </w:rPr>
      </w:pPr>
      <w:proofErr w:type="spellStart"/>
      <w:r w:rsidRPr="005D0571">
        <w:rPr>
          <w:lang w:val="en-US"/>
        </w:rPr>
        <w:t>Quartly</w:t>
      </w:r>
      <w:proofErr w:type="spellEnd"/>
      <w:r w:rsidRPr="005D0571">
        <w:rPr>
          <w:lang w:val="en-US"/>
        </w:rPr>
        <w:t xml:space="preserve">, G.D., </w:t>
      </w:r>
      <w:proofErr w:type="spellStart"/>
      <w:r w:rsidRPr="005D0571">
        <w:rPr>
          <w:lang w:val="en-US"/>
        </w:rPr>
        <w:t>Kyte</w:t>
      </w:r>
      <w:proofErr w:type="spellEnd"/>
      <w:r w:rsidRPr="005D0571">
        <w:rPr>
          <w:lang w:val="en-US"/>
        </w:rPr>
        <w:t xml:space="preserve">, E.A., </w:t>
      </w:r>
      <w:proofErr w:type="spellStart"/>
      <w:r w:rsidRPr="005D0571">
        <w:rPr>
          <w:lang w:val="en-US"/>
        </w:rPr>
        <w:t>Srokosz</w:t>
      </w:r>
      <w:proofErr w:type="spellEnd"/>
      <w:r w:rsidRPr="005D0571">
        <w:rPr>
          <w:lang w:val="en-US"/>
        </w:rPr>
        <w:t xml:space="preserve"> M.A. &amp; </w:t>
      </w:r>
      <w:proofErr w:type="spellStart"/>
      <w:r w:rsidRPr="005D0571">
        <w:rPr>
          <w:lang w:val="en-US"/>
        </w:rPr>
        <w:t>Tsimplis</w:t>
      </w:r>
      <w:proofErr w:type="spellEnd"/>
      <w:r w:rsidRPr="005D0571">
        <w:rPr>
          <w:lang w:val="en-US"/>
        </w:rPr>
        <w:t xml:space="preserve">, M.N. (2007). An </w:t>
      </w:r>
      <w:proofErr w:type="spellStart"/>
      <w:r w:rsidRPr="005D0571">
        <w:rPr>
          <w:lang w:val="en-US"/>
        </w:rPr>
        <w:t>intercomparison</w:t>
      </w:r>
      <w:proofErr w:type="spellEnd"/>
      <w:r w:rsidRPr="005D0571">
        <w:rPr>
          <w:lang w:val="en-US"/>
        </w:rPr>
        <w:t xml:space="preserve"> of global oceanic precipitation </w:t>
      </w:r>
      <w:proofErr w:type="spellStart"/>
      <w:r w:rsidRPr="005D0571">
        <w:rPr>
          <w:lang w:val="en-US"/>
        </w:rPr>
        <w:t>climatologies</w:t>
      </w:r>
      <w:proofErr w:type="spellEnd"/>
      <w:r w:rsidRPr="005D0571">
        <w:rPr>
          <w:lang w:val="en-US"/>
        </w:rPr>
        <w:t>,</w:t>
      </w:r>
      <w:r w:rsidRPr="005D0571">
        <w:rPr>
          <w:i/>
          <w:lang w:val="en-US"/>
        </w:rPr>
        <w:t xml:space="preserve"> J. </w:t>
      </w:r>
      <w:proofErr w:type="spellStart"/>
      <w:r w:rsidRPr="005D0571">
        <w:rPr>
          <w:i/>
          <w:lang w:val="en-US"/>
        </w:rPr>
        <w:t>Geophys</w:t>
      </w:r>
      <w:proofErr w:type="spellEnd"/>
      <w:r w:rsidRPr="005D0571">
        <w:rPr>
          <w:i/>
          <w:lang w:val="en-US"/>
        </w:rPr>
        <w:t>. Res.</w:t>
      </w:r>
      <w:r w:rsidRPr="005D0571">
        <w:rPr>
          <w:lang w:val="en-US"/>
        </w:rPr>
        <w:t xml:space="preserve">, </w:t>
      </w:r>
      <w:r w:rsidRPr="005D0571">
        <w:rPr>
          <w:b/>
          <w:lang w:val="en-US"/>
        </w:rPr>
        <w:t>112</w:t>
      </w:r>
      <w:r>
        <w:rPr>
          <w:lang w:val="en-US"/>
        </w:rPr>
        <w:t xml:space="preserve">, D10121.  </w:t>
      </w:r>
      <w:r>
        <w:rPr>
          <w:rStyle w:val="frlabel"/>
        </w:rPr>
        <w:t>DOI:</w:t>
      </w:r>
      <w:r>
        <w:t xml:space="preserve"> 10.1029/2006JD007810.</w:t>
      </w:r>
    </w:p>
    <w:p w14:paraId="21D28087" w14:textId="77777777" w:rsidR="00944DB2" w:rsidRPr="005D0571" w:rsidRDefault="00944DB2" w:rsidP="00506B51">
      <w:pPr>
        <w:pStyle w:val="TOC1"/>
        <w:rPr>
          <w:lang w:val="en-US"/>
        </w:rPr>
      </w:pPr>
      <w:r w:rsidRPr="005D0571">
        <w:rPr>
          <w:lang w:val="en-US"/>
        </w:rPr>
        <w:t xml:space="preserve">Yu, L., &amp; Weller, R.A. (2007). Objectively analyzed air-sea flux fields for the global ice-free oceans (1981-2005). </w:t>
      </w:r>
      <w:r w:rsidRPr="005D0571">
        <w:rPr>
          <w:i/>
          <w:lang w:val="en-US"/>
        </w:rPr>
        <w:t>Bull. Amer. Met. Soc.</w:t>
      </w:r>
      <w:r w:rsidRPr="005D0571">
        <w:rPr>
          <w:lang w:val="en-US"/>
        </w:rPr>
        <w:t xml:space="preserve">, </w:t>
      </w:r>
      <w:r w:rsidRPr="005D0571">
        <w:rPr>
          <w:b/>
          <w:lang w:val="en-US"/>
        </w:rPr>
        <w:t>88</w:t>
      </w:r>
      <w:r w:rsidRPr="005D0571">
        <w:rPr>
          <w:lang w:val="en-US"/>
        </w:rPr>
        <w:t>, 527-539.</w:t>
      </w:r>
      <w:r>
        <w:rPr>
          <w:lang w:val="en-US"/>
        </w:rPr>
        <w:t xml:space="preserve"> </w:t>
      </w:r>
      <w:r>
        <w:t>DOI: 10.1175/BAMS-88-4-527.</w:t>
      </w:r>
      <w:r>
        <w:rPr>
          <w:lang w:val="en-US"/>
        </w:rPr>
        <w:t xml:space="preserve"> </w:t>
      </w:r>
      <w:r w:rsidRPr="005D0571">
        <w:rPr>
          <w:lang w:val="en-US"/>
        </w:rPr>
        <w:t xml:space="preserve"> </w:t>
      </w:r>
    </w:p>
    <w:p w14:paraId="7753807D" w14:textId="3C548631" w:rsidR="00944DB2" w:rsidRDefault="00360ACB" w:rsidP="00360ACB">
      <w:pPr>
        <w:pStyle w:val="TOC1"/>
      </w:pPr>
      <w:r w:rsidRPr="00D8683E">
        <w:lastRenderedPageBreak/>
        <w:t xml:space="preserve">De </w:t>
      </w:r>
      <w:proofErr w:type="spellStart"/>
      <w:r w:rsidRPr="00D8683E">
        <w:t>Leeuw</w:t>
      </w:r>
      <w:proofErr w:type="spellEnd"/>
      <w:r w:rsidRPr="00D8683E">
        <w:t xml:space="preserve">, G., C.W. </w:t>
      </w:r>
      <w:proofErr w:type="spellStart"/>
      <w:r w:rsidRPr="00D8683E">
        <w:t>Fairall</w:t>
      </w:r>
      <w:proofErr w:type="spellEnd"/>
      <w:r w:rsidRPr="00D8683E">
        <w:t xml:space="preserve">, E.L Andreas, M.D. </w:t>
      </w:r>
      <w:proofErr w:type="spellStart"/>
      <w:r w:rsidRPr="00D8683E">
        <w:t>Anguelova</w:t>
      </w:r>
      <w:proofErr w:type="spellEnd"/>
      <w:r w:rsidRPr="00D8683E">
        <w:t xml:space="preserve">, E.R. Lewis, C. </w:t>
      </w:r>
      <w:r>
        <w:t>O’Dowd, M. Schulz, and S.E. Schwartz</w:t>
      </w:r>
      <w:r w:rsidR="00C9646C">
        <w:t xml:space="preserve"> (</w:t>
      </w:r>
      <w:r>
        <w:t>2011</w:t>
      </w:r>
      <w:r w:rsidR="00CB75D5">
        <w:t>)</w:t>
      </w:r>
      <w:r>
        <w:t xml:space="preserve">: Primary production of sea spray aerosol.  </w:t>
      </w:r>
      <w:r>
        <w:rPr>
          <w:i/>
        </w:rPr>
        <w:t xml:space="preserve">Rev. </w:t>
      </w:r>
      <w:proofErr w:type="spellStart"/>
      <w:r>
        <w:rPr>
          <w:i/>
        </w:rPr>
        <w:t>Geophys</w:t>
      </w:r>
      <w:proofErr w:type="spellEnd"/>
      <w:r>
        <w:rPr>
          <w:i/>
        </w:rPr>
        <w:t>.</w:t>
      </w:r>
      <w:r>
        <w:t xml:space="preserve">, </w:t>
      </w:r>
      <w:r w:rsidRPr="00CD386C">
        <w:rPr>
          <w:b/>
        </w:rPr>
        <w:t>49</w:t>
      </w:r>
      <w:r>
        <w:t>,  RG2001, doi:10.1029/2010RG000349.</w:t>
      </w:r>
    </w:p>
    <w:p w14:paraId="5E769FD7" w14:textId="55ED9A14" w:rsidR="0084112C" w:rsidRPr="0084112C" w:rsidRDefault="0084112C" w:rsidP="0084112C">
      <w:pPr>
        <w:pStyle w:val="TOC1"/>
      </w:pPr>
      <w:proofErr w:type="spellStart"/>
      <w:r w:rsidRPr="006B0ED8">
        <w:rPr>
          <w:lang w:val="en-US"/>
        </w:rPr>
        <w:t>Wanninkhof</w:t>
      </w:r>
      <w:proofErr w:type="spellEnd"/>
      <w:r w:rsidRPr="006B0ED8">
        <w:rPr>
          <w:lang w:val="en-US"/>
        </w:rPr>
        <w:t>, R., Asher, W.E., Ho, D.T.</w:t>
      </w:r>
      <w:r w:rsidR="00C9646C">
        <w:rPr>
          <w:lang w:val="en-US"/>
        </w:rPr>
        <w:t>,</w:t>
      </w:r>
      <w:r w:rsidRPr="006B0ED8">
        <w:rPr>
          <w:lang w:val="en-US"/>
        </w:rPr>
        <w:t xml:space="preserve"> Sweeney, C. &amp; </w:t>
      </w:r>
      <w:proofErr w:type="spellStart"/>
      <w:r w:rsidRPr="006B0ED8">
        <w:rPr>
          <w:lang w:val="en-US"/>
        </w:rPr>
        <w:t>McGillis</w:t>
      </w:r>
      <w:proofErr w:type="spellEnd"/>
      <w:r w:rsidRPr="006B0ED8">
        <w:rPr>
          <w:lang w:val="en-US"/>
        </w:rPr>
        <w:t xml:space="preserve">, W.R. (2009). Advances in quantifying air-sea gas exchange and environmental forcing. </w:t>
      </w:r>
      <w:proofErr w:type="spellStart"/>
      <w:r w:rsidRPr="006B0ED8">
        <w:rPr>
          <w:i/>
          <w:lang w:val="en-US"/>
        </w:rPr>
        <w:t>Annu</w:t>
      </w:r>
      <w:proofErr w:type="spellEnd"/>
      <w:r w:rsidRPr="006B0ED8">
        <w:rPr>
          <w:i/>
          <w:lang w:val="en-US"/>
        </w:rPr>
        <w:t>. Rev. Mar. Sci.,</w:t>
      </w:r>
      <w:r w:rsidRPr="006B0ED8">
        <w:rPr>
          <w:b/>
          <w:lang w:val="en-US"/>
        </w:rPr>
        <w:t xml:space="preserve"> 1</w:t>
      </w:r>
      <w:r w:rsidRPr="006B0ED8">
        <w:rPr>
          <w:lang w:val="en-US"/>
        </w:rPr>
        <w:t xml:space="preserve">, 213–44. </w:t>
      </w:r>
      <w:r>
        <w:rPr>
          <w:rStyle w:val="frlabel"/>
        </w:rPr>
        <w:t>DOI:</w:t>
      </w:r>
      <w:r>
        <w:t xml:space="preserve"> 10.1146/annurev.marine.010908.163742.</w:t>
      </w:r>
      <w:r w:rsidRPr="006B0ED8">
        <w:rPr>
          <w:lang w:val="en-US"/>
        </w:rPr>
        <w:t xml:space="preserve"> </w:t>
      </w:r>
    </w:p>
    <w:p w14:paraId="59752E33" w14:textId="77777777" w:rsidR="00944DB2" w:rsidRDefault="00944DB2" w:rsidP="00506B51">
      <w:pPr>
        <w:pStyle w:val="TOC1"/>
      </w:pPr>
      <w:proofErr w:type="spellStart"/>
      <w:r w:rsidRPr="005D0571">
        <w:rPr>
          <w:lang w:val="en-US"/>
        </w:rPr>
        <w:lastRenderedPageBreak/>
        <w:t>Doney</w:t>
      </w:r>
      <w:proofErr w:type="spellEnd"/>
      <w:r w:rsidRPr="005D0571">
        <w:rPr>
          <w:lang w:val="en-US"/>
        </w:rPr>
        <w:t>, S.C., &amp; Co-Authors (2009). Mechanisms governing interannual variability in upper-ocean inorganic carbon system and air-sea CO</w:t>
      </w:r>
      <w:r w:rsidRPr="005D0571">
        <w:rPr>
          <w:vertAlign w:val="subscript"/>
          <w:lang w:val="en-US"/>
        </w:rPr>
        <w:t>2</w:t>
      </w:r>
      <w:r w:rsidRPr="005D0571">
        <w:rPr>
          <w:lang w:val="en-US"/>
        </w:rPr>
        <w:t xml:space="preserve"> fluxes: physical climate and atmospheric dust, </w:t>
      </w:r>
      <w:r w:rsidRPr="005D0571">
        <w:rPr>
          <w:i/>
          <w:lang w:val="en-US"/>
        </w:rPr>
        <w:t>Deep-Sea Res. II,</w:t>
      </w:r>
      <w:r w:rsidRPr="005D0571">
        <w:rPr>
          <w:lang w:val="en-US"/>
        </w:rPr>
        <w:t xml:space="preserve"> </w:t>
      </w:r>
      <w:r w:rsidRPr="005D0571">
        <w:rPr>
          <w:b/>
          <w:lang w:val="en-US"/>
        </w:rPr>
        <w:t>56</w:t>
      </w:r>
      <w:r w:rsidRPr="005D0571">
        <w:rPr>
          <w:lang w:val="en-US"/>
        </w:rPr>
        <w:t xml:space="preserve">, 640-655. </w:t>
      </w:r>
      <w:r>
        <w:rPr>
          <w:rStyle w:val="frlabel"/>
        </w:rPr>
        <w:t>DOI:</w:t>
      </w:r>
      <w:r>
        <w:t xml:space="preserve"> 10.1016/j.dsr2.2008.12.006.</w:t>
      </w:r>
    </w:p>
    <w:p w14:paraId="5846C6B0" w14:textId="262662C0" w:rsidR="00A3137D" w:rsidRPr="00A3137D" w:rsidRDefault="00A3137D" w:rsidP="00A3137D">
      <w:pPr>
        <w:pStyle w:val="TOC1"/>
        <w:tabs>
          <w:tab w:val="left" w:pos="170"/>
          <w:tab w:val="left" w:pos="227"/>
          <w:tab w:val="left" w:pos="312"/>
          <w:tab w:val="left" w:pos="340"/>
          <w:tab w:val="left" w:pos="369"/>
          <w:tab w:val="left" w:pos="397"/>
        </w:tabs>
        <w:rPr>
          <w:lang w:val="en-US"/>
        </w:rPr>
      </w:pPr>
      <w:r>
        <w:t xml:space="preserve"> </w:t>
      </w:r>
      <w:r w:rsidRPr="005D0571">
        <w:rPr>
          <w:lang w:val="en-US"/>
        </w:rPr>
        <w:t xml:space="preserve">Weller, R.A. &amp; Co-Authors (2008). Sensors for physical fluxes at the sea surface: energy, heat, water, salt. </w:t>
      </w:r>
      <w:r w:rsidRPr="005D0571">
        <w:rPr>
          <w:i/>
          <w:lang w:val="en-US"/>
        </w:rPr>
        <w:t>Ocean Science</w:t>
      </w:r>
      <w:r w:rsidRPr="005D0571">
        <w:rPr>
          <w:lang w:val="en-US"/>
        </w:rPr>
        <w:t>, 4, 247-263.</w:t>
      </w:r>
      <w:r>
        <w:rPr>
          <w:lang w:val="en-US"/>
        </w:rPr>
        <w:t xml:space="preserve"> </w:t>
      </w:r>
      <w:r>
        <w:rPr>
          <w:rStyle w:val="pbcitationheader"/>
        </w:rPr>
        <w:t>DOI:10.5194/os-4-247-2008.</w:t>
      </w:r>
    </w:p>
    <w:p w14:paraId="305CC0DC" w14:textId="77777777" w:rsidR="00214135" w:rsidRPr="005D0571" w:rsidRDefault="00214135" w:rsidP="00214135">
      <w:pPr>
        <w:pStyle w:val="TOC1"/>
        <w:tabs>
          <w:tab w:val="clear" w:pos="270"/>
          <w:tab w:val="left" w:pos="170"/>
          <w:tab w:val="left" w:pos="227"/>
          <w:tab w:val="left" w:pos="284"/>
          <w:tab w:val="left" w:pos="312"/>
          <w:tab w:val="left" w:pos="340"/>
          <w:tab w:val="left" w:pos="369"/>
          <w:tab w:val="left" w:pos="397"/>
        </w:tabs>
        <w:rPr>
          <w:lang w:val="en-US"/>
        </w:rPr>
      </w:pPr>
      <w:r w:rsidRPr="005D0571">
        <w:rPr>
          <w:lang w:val="en-US"/>
        </w:rPr>
        <w:t xml:space="preserve">NRC (US National Research Council) (1999). </w:t>
      </w:r>
      <w:r w:rsidRPr="005D0571">
        <w:rPr>
          <w:i/>
          <w:lang w:val="en-US"/>
        </w:rPr>
        <w:t>Adequacy of Climate Observing Systems.</w:t>
      </w:r>
      <w:r w:rsidRPr="005D0571">
        <w:rPr>
          <w:lang w:val="en-US"/>
        </w:rPr>
        <w:t xml:space="preserve"> National Academy Press, USA, 51pp.</w:t>
      </w:r>
    </w:p>
    <w:p w14:paraId="2BB54D91" w14:textId="77777777" w:rsidR="00944DB2" w:rsidRPr="005D0571" w:rsidRDefault="00944DB2" w:rsidP="00944DB2">
      <w:pPr>
        <w:rPr>
          <w:lang w:val="en-US"/>
        </w:rPr>
      </w:pPr>
    </w:p>
    <w:p w14:paraId="656D7CE1" w14:textId="77777777" w:rsidR="00944DB2" w:rsidRPr="005D0571" w:rsidRDefault="00944DB2" w:rsidP="00944DB2">
      <w:pPr>
        <w:rPr>
          <w:lang w:val="en-US"/>
        </w:rPr>
        <w:sectPr w:rsidR="00944DB2" w:rsidRPr="005D0571">
          <w:footerReference w:type="default" r:id="rId23"/>
          <w:type w:val="continuous"/>
          <w:pgSz w:w="11907" w:h="16840" w:code="9"/>
          <w:pgMar w:top="1418" w:right="1134" w:bottom="1985" w:left="1134" w:header="720" w:footer="720" w:gutter="0"/>
          <w:cols w:num="2" w:space="567"/>
        </w:sectPr>
      </w:pPr>
    </w:p>
    <w:p w14:paraId="345CAF56" w14:textId="77777777" w:rsidR="00944DB2" w:rsidRPr="005D0571" w:rsidRDefault="00944DB2" w:rsidP="006F2DAF">
      <w:pPr>
        <w:rPr>
          <w:lang w:val="en-US"/>
        </w:rPr>
      </w:pPr>
    </w:p>
    <w:sectPr w:rsidR="00944DB2" w:rsidRPr="005D0571" w:rsidSect="00944DB2">
      <w:type w:val="continuous"/>
      <w:pgSz w:w="11907" w:h="16840" w:code="9"/>
      <w:pgMar w:top="1418" w:right="1134" w:bottom="1985" w:left="1134" w:header="720" w:footer="720" w:gutter="0"/>
      <w:cols w:num="2" w:space="5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BC21D" w14:textId="77777777" w:rsidR="00587967" w:rsidRDefault="00587967">
      <w:r>
        <w:separator/>
      </w:r>
    </w:p>
  </w:endnote>
  <w:endnote w:type="continuationSeparator" w:id="0">
    <w:p w14:paraId="755C312D" w14:textId="77777777" w:rsidR="00587967" w:rsidRDefault="00587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Times New Roman MT Std Bd">
    <w:altName w:val="Times New Roman"/>
    <w:charset w:val="00"/>
    <w:family w:val="auto"/>
    <w:pitch w:val="variable"/>
    <w:sig w:usb0="00000003" w:usb1="00000000" w:usb2="00000000" w:usb3="00000000" w:csb0="01000000" w:csb1="00000000"/>
  </w:font>
  <w:font w:name="Helvetica">
    <w:panose1 w:val="020B0604020202020204"/>
    <w:charset w:val="00"/>
    <w:family w:val="swiss"/>
    <w:notTrueType/>
    <w:pitch w:val="variable"/>
    <w:sig w:usb0="00000003" w:usb1="00000000" w:usb2="00000000" w:usb3="00000000" w:csb0="00000001" w:csb1="00000000"/>
  </w:font>
  <w:font w:name="Times New Roman MT Std">
    <w:altName w:val="Times New Roman"/>
    <w:charset w:val="00"/>
    <w:family w:val="auto"/>
    <w:pitch w:val="variable"/>
    <w:sig w:usb0="03000000" w:usb1="00000000" w:usb2="00000000" w:usb3="00000000" w:csb0="00000001" w:csb1="00000000"/>
  </w:font>
  <w:font w:name="Times New Roman MT Std It">
    <w:altName w:val="Times New Roman"/>
    <w:charset w:val="00"/>
    <w:family w:val="auto"/>
    <w:pitch w:val="variable"/>
    <w:sig w:usb0="00000003" w:usb1="00000000" w:usb2="00000000" w:usb3="00000000" w:csb0="01000000"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48FE6" w14:textId="77777777" w:rsidR="00C9646C" w:rsidRDefault="00C9646C" w:rsidP="00C95D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412347" w14:textId="77777777" w:rsidR="00C9646C" w:rsidRDefault="00C9646C" w:rsidP="00944D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9FD81" w14:textId="77777777" w:rsidR="00C9646C" w:rsidRDefault="00C9646C" w:rsidP="00944D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294C">
      <w:rPr>
        <w:rStyle w:val="PageNumber"/>
        <w:noProof/>
      </w:rPr>
      <w:t>1</w:t>
    </w:r>
    <w:r>
      <w:rPr>
        <w:rStyle w:val="PageNumber"/>
      </w:rPr>
      <w:fldChar w:fldCharType="end"/>
    </w:r>
  </w:p>
  <w:p w14:paraId="405EFFF3" w14:textId="77777777" w:rsidR="00C9646C" w:rsidRDefault="00C9646C" w:rsidP="00944DB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8EDDD" w14:textId="77777777" w:rsidR="00C9646C" w:rsidRDefault="00C9646C" w:rsidP="00C95D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294C">
      <w:rPr>
        <w:rStyle w:val="PageNumber"/>
        <w:noProof/>
      </w:rPr>
      <w:t>2</w:t>
    </w:r>
    <w:r>
      <w:rPr>
        <w:rStyle w:val="PageNumber"/>
      </w:rPr>
      <w:fldChar w:fldCharType="end"/>
    </w:r>
  </w:p>
  <w:p w14:paraId="466A01D7" w14:textId="77777777" w:rsidR="00C9646C" w:rsidRDefault="00C9646C" w:rsidP="009E7EB9">
    <w:pPr>
      <w:pStyle w:val="Footer"/>
      <w:ind w:right="360"/>
      <w:jc w:val="center"/>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580D4" w14:textId="77777777" w:rsidR="00587967" w:rsidRDefault="00587967">
      <w:r>
        <w:separator/>
      </w:r>
    </w:p>
  </w:footnote>
  <w:footnote w:type="continuationSeparator" w:id="0">
    <w:p w14:paraId="19D1D0BC" w14:textId="77777777" w:rsidR="00587967" w:rsidRDefault="00587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B5E48" w14:textId="77777777" w:rsidR="00C9646C" w:rsidRDefault="00C9646C">
    <w:pPr>
      <w:jc w:val="right"/>
      <w:rPr>
        <w:rFonts w:ascii="Times New Roman Bold" w:hAnsi="Times New Roman Bold"/>
      </w:rPr>
    </w:pPr>
    <w:r w:rsidRPr="00C578C2">
      <w:rPr>
        <w:rFonts w:ascii="Times New Roman Bold" w:hAnsi="Times New Roman Bold"/>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50C90D4"/>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3685D75"/>
    <w:multiLevelType w:val="multilevel"/>
    <w:tmpl w:val="1B3048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57" w:hanging="35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39C1D41"/>
    <w:multiLevelType w:val="hybridMultilevel"/>
    <w:tmpl w:val="414098A8"/>
    <w:lvl w:ilvl="0" w:tplc="6236E748">
      <w:start w:val="1"/>
      <w:numFmt w:val="bullet"/>
      <w:lvlText w:val=""/>
      <w:lvlJc w:val="left"/>
      <w:pPr>
        <w:tabs>
          <w:tab w:val="num" w:pos="530"/>
        </w:tabs>
        <w:ind w:left="510" w:hanging="34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2424A2"/>
    <w:multiLevelType w:val="multilevel"/>
    <w:tmpl w:val="3EB4E2EE"/>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57" w:hanging="35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A8D7D92"/>
    <w:multiLevelType w:val="hybridMultilevel"/>
    <w:tmpl w:val="18BEADC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0D32FFF"/>
    <w:multiLevelType w:val="hybridMultilevel"/>
    <w:tmpl w:val="1890BDD0"/>
    <w:lvl w:ilvl="0" w:tplc="CC3888AC">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632F28"/>
    <w:multiLevelType w:val="singleLevel"/>
    <w:tmpl w:val="AAD418C6"/>
    <w:lvl w:ilvl="0">
      <w:start w:val="8700"/>
      <w:numFmt w:val="bullet"/>
      <w:lvlText w:val="-"/>
      <w:lvlJc w:val="left"/>
      <w:pPr>
        <w:tabs>
          <w:tab w:val="num" w:pos="360"/>
        </w:tabs>
        <w:ind w:left="360" w:hanging="360"/>
      </w:pPr>
      <w:rPr>
        <w:rFonts w:hint="default"/>
      </w:rPr>
    </w:lvl>
  </w:abstractNum>
  <w:abstractNum w:abstractNumId="8">
    <w:nsid w:val="1604518F"/>
    <w:multiLevelType w:val="singleLevel"/>
    <w:tmpl w:val="0409000F"/>
    <w:lvl w:ilvl="0">
      <w:start w:val="1"/>
      <w:numFmt w:val="decimal"/>
      <w:lvlText w:val="%1."/>
      <w:legacy w:legacy="1" w:legacySpace="0" w:legacyIndent="360"/>
      <w:lvlJc w:val="left"/>
      <w:pPr>
        <w:ind w:left="360" w:hanging="360"/>
      </w:pPr>
    </w:lvl>
  </w:abstractNum>
  <w:abstractNum w:abstractNumId="9">
    <w:nsid w:val="161B4154"/>
    <w:multiLevelType w:val="multilevel"/>
    <w:tmpl w:val="052256A4"/>
    <w:lvl w:ilvl="0">
      <w:start w:val="9"/>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080"/>
        </w:tabs>
        <w:ind w:left="1080" w:hanging="108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0">
    <w:nsid w:val="18D9743C"/>
    <w:multiLevelType w:val="singleLevel"/>
    <w:tmpl w:val="571682AE"/>
    <w:lvl w:ilvl="0">
      <w:start w:val="1"/>
      <w:numFmt w:val="decimal"/>
      <w:lvlText w:val="%1."/>
      <w:legacy w:legacy="1" w:legacySpace="0" w:legacyIndent="360"/>
      <w:lvlJc w:val="left"/>
      <w:pPr>
        <w:ind w:left="360" w:hanging="360"/>
      </w:pPr>
    </w:lvl>
  </w:abstractNum>
  <w:abstractNum w:abstractNumId="11">
    <w:nsid w:val="1F76347C"/>
    <w:multiLevelType w:val="multilevel"/>
    <w:tmpl w:val="1A385C68"/>
    <w:lvl w:ilvl="0">
      <w:start w:val="1"/>
      <w:numFmt w:val="decimal"/>
      <w:lvlText w:val="%1."/>
      <w:lvlJc w:val="left"/>
      <w:pPr>
        <w:tabs>
          <w:tab w:val="num" w:pos="360"/>
        </w:tabs>
        <w:ind w:left="360" w:hanging="360"/>
      </w:pPr>
      <w:rPr>
        <w:rFonts w:ascii="Times New Roman Bold" w:hAnsi="Times New Roman Bold" w:hint="default"/>
        <w:b/>
        <w:i w:val="0"/>
        <w:caps/>
      </w:rPr>
    </w:lvl>
    <w:lvl w:ilvl="1">
      <w:start w:val="1"/>
      <w:numFmt w:val="decimal"/>
      <w:lvlText w:val="%1.%2."/>
      <w:lvlJc w:val="left"/>
      <w:pPr>
        <w:tabs>
          <w:tab w:val="num" w:pos="360"/>
        </w:tabs>
        <w:ind w:left="357" w:hanging="357"/>
      </w:pPr>
      <w:rPr>
        <w:rFonts w:ascii="Times New Roman MT Std Bd" w:hAnsi="Times New Roman MT Std Bd"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1E21AC1"/>
    <w:multiLevelType w:val="singleLevel"/>
    <w:tmpl w:val="BCD02404"/>
    <w:lvl w:ilvl="0">
      <w:start w:val="3"/>
      <w:numFmt w:val="bullet"/>
      <w:lvlText w:val="-"/>
      <w:lvlJc w:val="left"/>
      <w:pPr>
        <w:tabs>
          <w:tab w:val="num" w:pos="1080"/>
        </w:tabs>
        <w:ind w:left="1077" w:hanging="357"/>
      </w:pPr>
      <w:rPr>
        <w:rFonts w:hint="default"/>
      </w:rPr>
    </w:lvl>
  </w:abstractNum>
  <w:abstractNum w:abstractNumId="13">
    <w:nsid w:val="22EA1EED"/>
    <w:multiLevelType w:val="hybridMultilevel"/>
    <w:tmpl w:val="571682AE"/>
    <w:lvl w:ilvl="0" w:tplc="CA2ECC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906D12"/>
    <w:multiLevelType w:val="hybridMultilevel"/>
    <w:tmpl w:val="48FC41FA"/>
    <w:lvl w:ilvl="0" w:tplc="A6B6457C">
      <w:start w:val="1"/>
      <w:numFmt w:val="decimal"/>
      <w:pStyle w:val="TOC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39535F"/>
    <w:multiLevelType w:val="hybridMultilevel"/>
    <w:tmpl w:val="FD3A50CA"/>
    <w:lvl w:ilvl="0" w:tplc="E48E4B0E">
      <w:start w:val="1"/>
      <w:numFmt w:val="bullet"/>
      <w:lvlText w:val=""/>
      <w:lvlJc w:val="left"/>
      <w:pPr>
        <w:tabs>
          <w:tab w:val="num" w:pos="360"/>
        </w:tabs>
        <w:ind w:left="340" w:hanging="34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DF4D6F"/>
    <w:multiLevelType w:val="hybridMultilevel"/>
    <w:tmpl w:val="414098A8"/>
    <w:lvl w:ilvl="0" w:tplc="414CE3FE">
      <w:start w:val="1"/>
      <w:numFmt w:val="bullet"/>
      <w:lvlText w:val=""/>
      <w:lvlJc w:val="left"/>
      <w:pPr>
        <w:tabs>
          <w:tab w:val="num" w:pos="567"/>
        </w:tabs>
        <w:ind w:left="567" w:hanging="397"/>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004582E"/>
    <w:multiLevelType w:val="singleLevel"/>
    <w:tmpl w:val="0409000F"/>
    <w:lvl w:ilvl="0">
      <w:start w:val="1"/>
      <w:numFmt w:val="decimal"/>
      <w:lvlText w:val="%1."/>
      <w:legacy w:legacy="1" w:legacySpace="0" w:legacyIndent="360"/>
      <w:lvlJc w:val="left"/>
      <w:pPr>
        <w:ind w:left="360" w:hanging="360"/>
      </w:pPr>
    </w:lvl>
  </w:abstractNum>
  <w:abstractNum w:abstractNumId="18">
    <w:nsid w:val="335218AC"/>
    <w:multiLevelType w:val="multilevel"/>
    <w:tmpl w:val="21BED28E"/>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360"/>
        </w:tabs>
        <w:ind w:left="357" w:hanging="35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3D644E2"/>
    <w:multiLevelType w:val="singleLevel"/>
    <w:tmpl w:val="571682AE"/>
    <w:lvl w:ilvl="0">
      <w:start w:val="1"/>
      <w:numFmt w:val="decimal"/>
      <w:lvlText w:val="%1."/>
      <w:legacy w:legacy="1" w:legacySpace="0" w:legacyIndent="360"/>
      <w:lvlJc w:val="left"/>
      <w:pPr>
        <w:ind w:left="360" w:hanging="360"/>
      </w:pPr>
    </w:lvl>
  </w:abstractNum>
  <w:abstractNum w:abstractNumId="20">
    <w:nsid w:val="34FB2C82"/>
    <w:multiLevelType w:val="multilevel"/>
    <w:tmpl w:val="F814DF5A"/>
    <w:lvl w:ilvl="0">
      <w:start w:val="1"/>
      <w:numFmt w:val="decimal"/>
      <w:lvlText w:val="%1."/>
      <w:lvlJc w:val="left"/>
      <w:pPr>
        <w:tabs>
          <w:tab w:val="num" w:pos="360"/>
        </w:tabs>
        <w:ind w:left="360" w:hanging="360"/>
      </w:pPr>
      <w:rPr>
        <w:rFonts w:ascii="Times New Roman Bold" w:hAnsi="Times New Roman Bold" w:hint="default"/>
        <w:b/>
        <w:i w:val="0"/>
        <w:caps/>
      </w:rPr>
    </w:lvl>
    <w:lvl w:ilvl="1">
      <w:start w:val="1"/>
      <w:numFmt w:val="decimal"/>
      <w:lvlText w:val="%1.%2."/>
      <w:lvlJc w:val="left"/>
      <w:pPr>
        <w:tabs>
          <w:tab w:val="num" w:pos="360"/>
        </w:tabs>
        <w:ind w:left="357" w:hanging="357"/>
      </w:pPr>
      <w:rPr>
        <w:rFonts w:ascii="Times New Roman Bold" w:hAnsi="Times New Roman Bold"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6604562"/>
    <w:multiLevelType w:val="hybridMultilevel"/>
    <w:tmpl w:val="7AE411DC"/>
    <w:lvl w:ilvl="0" w:tplc="9EE0DCA8">
      <w:start w:val="1"/>
      <w:numFmt w:val="bullet"/>
      <w:pStyle w:val="List"/>
      <w:lvlText w:val="-"/>
      <w:lvlJc w:val="left"/>
      <w:pPr>
        <w:tabs>
          <w:tab w:val="num" w:pos="360"/>
        </w:tabs>
        <w:ind w:left="340" w:hanging="34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1C717E"/>
    <w:multiLevelType w:val="hybridMultilevel"/>
    <w:tmpl w:val="91FE295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FC3061"/>
    <w:multiLevelType w:val="hybridMultilevel"/>
    <w:tmpl w:val="1890BDD0"/>
    <w:lvl w:ilvl="0" w:tplc="45C8847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C4351F"/>
    <w:multiLevelType w:val="hybridMultilevel"/>
    <w:tmpl w:val="414098A8"/>
    <w:lvl w:ilvl="0" w:tplc="4C90786C">
      <w:start w:val="1"/>
      <w:numFmt w:val="bullet"/>
      <w:lvlText w:val=""/>
      <w:lvlJc w:val="left"/>
      <w:pPr>
        <w:tabs>
          <w:tab w:val="num" w:pos="530"/>
        </w:tabs>
        <w:ind w:left="454" w:hanging="284"/>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166F03"/>
    <w:multiLevelType w:val="singleLevel"/>
    <w:tmpl w:val="571682AE"/>
    <w:lvl w:ilvl="0">
      <w:start w:val="1"/>
      <w:numFmt w:val="decimal"/>
      <w:lvlText w:val="%1."/>
      <w:legacy w:legacy="1" w:legacySpace="0" w:legacyIndent="360"/>
      <w:lvlJc w:val="left"/>
      <w:pPr>
        <w:ind w:left="360" w:hanging="360"/>
      </w:pPr>
    </w:lvl>
  </w:abstractNum>
  <w:abstractNum w:abstractNumId="26">
    <w:nsid w:val="57A94931"/>
    <w:multiLevelType w:val="singleLevel"/>
    <w:tmpl w:val="EE363CC0"/>
    <w:lvl w:ilvl="0">
      <w:start w:val="1"/>
      <w:numFmt w:val="bullet"/>
      <w:lvlText w:val=""/>
      <w:lvlJc w:val="left"/>
      <w:pPr>
        <w:tabs>
          <w:tab w:val="num" w:pos="360"/>
        </w:tabs>
        <w:ind w:left="360" w:hanging="360"/>
      </w:pPr>
      <w:rPr>
        <w:rFonts w:ascii="Symbol" w:hAnsi="Symbol" w:hint="default"/>
      </w:rPr>
    </w:lvl>
  </w:abstractNum>
  <w:abstractNum w:abstractNumId="27">
    <w:nsid w:val="59584B53"/>
    <w:multiLevelType w:val="singleLevel"/>
    <w:tmpl w:val="571682AE"/>
    <w:lvl w:ilvl="0">
      <w:start w:val="1"/>
      <w:numFmt w:val="decimal"/>
      <w:lvlText w:val="%1."/>
      <w:legacy w:legacy="1" w:legacySpace="0" w:legacyIndent="360"/>
      <w:lvlJc w:val="left"/>
      <w:pPr>
        <w:ind w:left="360" w:hanging="360"/>
      </w:pPr>
    </w:lvl>
  </w:abstractNum>
  <w:abstractNum w:abstractNumId="28">
    <w:nsid w:val="5A8578C8"/>
    <w:multiLevelType w:val="singleLevel"/>
    <w:tmpl w:val="0409000F"/>
    <w:lvl w:ilvl="0">
      <w:start w:val="1"/>
      <w:numFmt w:val="decimal"/>
      <w:lvlText w:val="%1."/>
      <w:lvlJc w:val="left"/>
      <w:pPr>
        <w:tabs>
          <w:tab w:val="num" w:pos="720"/>
        </w:tabs>
        <w:ind w:left="720" w:hanging="360"/>
      </w:pPr>
    </w:lvl>
  </w:abstractNum>
  <w:abstractNum w:abstractNumId="29">
    <w:nsid w:val="5F2D0464"/>
    <w:multiLevelType w:val="hybridMultilevel"/>
    <w:tmpl w:val="571682A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3230A84"/>
    <w:multiLevelType w:val="multilevel"/>
    <w:tmpl w:val="D4566982"/>
    <w:lvl w:ilvl="0">
      <w:start w:val="1"/>
      <w:numFmt w:val="decimal"/>
      <w:pStyle w:val="Heading1"/>
      <w:lvlText w:val="%1."/>
      <w:lvlJc w:val="left"/>
      <w:pPr>
        <w:tabs>
          <w:tab w:val="num" w:pos="360"/>
        </w:tabs>
        <w:ind w:left="360" w:hanging="360"/>
      </w:pPr>
      <w:rPr>
        <w:rFonts w:ascii="Times New Roman MT Std Bd" w:hAnsi="Times New Roman MT Std Bd" w:hint="default"/>
        <w:b/>
        <w:i w:val="0"/>
        <w:caps/>
      </w:rPr>
    </w:lvl>
    <w:lvl w:ilvl="1">
      <w:start w:val="1"/>
      <w:numFmt w:val="decimal"/>
      <w:lvlText w:val="%1.%2."/>
      <w:lvlJc w:val="left"/>
      <w:pPr>
        <w:tabs>
          <w:tab w:val="num" w:pos="360"/>
        </w:tabs>
        <w:ind w:left="357" w:hanging="357"/>
      </w:pPr>
      <w:rPr>
        <w:rFonts w:ascii="Times New Roman MT Std Bd" w:hAnsi="Times New Roman MT Std Bd"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6A47CA2"/>
    <w:multiLevelType w:val="hybridMultilevel"/>
    <w:tmpl w:val="622A5C64"/>
    <w:lvl w:ilvl="0" w:tplc="010A5C58">
      <w:start w:val="1"/>
      <w:numFmt w:val="decimal"/>
      <w:lvlText w:val="%1."/>
      <w:lvlJc w:val="left"/>
      <w:pPr>
        <w:tabs>
          <w:tab w:val="num" w:pos="1785"/>
        </w:tabs>
        <w:ind w:left="1955" w:hanging="425"/>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6DD60273"/>
    <w:multiLevelType w:val="multilevel"/>
    <w:tmpl w:val="30F47AE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710F1BCB"/>
    <w:multiLevelType w:val="multilevel"/>
    <w:tmpl w:val="31D071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75B1484B"/>
    <w:multiLevelType w:val="hybridMultilevel"/>
    <w:tmpl w:val="76E00DCC"/>
    <w:lvl w:ilvl="0" w:tplc="FFFFFFFF">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1E01A5"/>
    <w:multiLevelType w:val="singleLevel"/>
    <w:tmpl w:val="571682AE"/>
    <w:lvl w:ilvl="0">
      <w:start w:val="1"/>
      <w:numFmt w:val="decimal"/>
      <w:lvlText w:val="%1."/>
      <w:legacy w:legacy="1" w:legacySpace="0" w:legacyIndent="360"/>
      <w:lvlJc w:val="left"/>
      <w:pPr>
        <w:ind w:left="360" w:hanging="360"/>
      </w:pPr>
    </w:lvl>
  </w:abstractNum>
  <w:num w:numId="1">
    <w:abstractNumId w:val="28"/>
  </w:num>
  <w:num w:numId="2">
    <w:abstractNumId w:val="26"/>
  </w:num>
  <w:num w:numId="3">
    <w:abstractNumId w:val="12"/>
  </w:num>
  <w:num w:numId="4">
    <w:abstractNumId w:val="7"/>
  </w:num>
  <w:num w:numId="5">
    <w:abstractNumId w:val="0"/>
  </w:num>
  <w:num w:numId="6">
    <w:abstractNumId w:val="17"/>
  </w:num>
  <w:num w:numId="7">
    <w:abstractNumId w:val="1"/>
    <w:lvlOverride w:ilvl="0">
      <w:lvl w:ilvl="0">
        <w:start w:val="1"/>
        <w:numFmt w:val="bullet"/>
        <w:lvlText w:val=""/>
        <w:legacy w:legacy="1" w:legacySpace="0" w:legacyIndent="360"/>
        <w:lvlJc w:val="left"/>
        <w:pPr>
          <w:ind w:left="717" w:hanging="360"/>
        </w:pPr>
        <w:rPr>
          <w:rFonts w:ascii="Symbol" w:hAnsi="Symbol" w:hint="default"/>
        </w:rPr>
      </w:lvl>
    </w:lvlOverride>
  </w:num>
  <w:num w:numId="8">
    <w:abstractNumId w:val="8"/>
  </w:num>
  <w:num w:numId="9">
    <w:abstractNumId w:val="13"/>
  </w:num>
  <w:num w:numId="10">
    <w:abstractNumId w:val="29"/>
  </w:num>
  <w:num w:numId="11">
    <w:abstractNumId w:val="24"/>
  </w:num>
  <w:num w:numId="12">
    <w:abstractNumId w:val="3"/>
  </w:num>
  <w:num w:numId="13">
    <w:abstractNumId w:val="16"/>
  </w:num>
  <w:num w:numId="14">
    <w:abstractNumId w:val="35"/>
  </w:num>
  <w:num w:numId="15">
    <w:abstractNumId w:val="1"/>
    <w:lvlOverride w:ilvl="0">
      <w:lvl w:ilvl="0">
        <w:start w:val="1"/>
        <w:numFmt w:val="bullet"/>
        <w:lvlText w:val=""/>
        <w:legacy w:legacy="1" w:legacySpace="0" w:legacyIndent="360"/>
        <w:lvlJc w:val="left"/>
        <w:pPr>
          <w:ind w:left="720" w:hanging="360"/>
        </w:pPr>
        <w:rPr>
          <w:rFonts w:ascii="Helvetica" w:hAnsi="Helvetica" w:hint="default"/>
        </w:rPr>
      </w:lvl>
    </w:lvlOverride>
  </w:num>
  <w:num w:numId="16">
    <w:abstractNumId w:val="19"/>
  </w:num>
  <w:num w:numId="17">
    <w:abstractNumId w:val="10"/>
  </w:num>
  <w:num w:numId="18">
    <w:abstractNumId w:val="27"/>
  </w:num>
  <w:num w:numId="19">
    <w:abstractNumId w:val="25"/>
  </w:num>
  <w:num w:numId="20">
    <w:abstractNumId w:val="15"/>
  </w:num>
  <w:num w:numId="21">
    <w:abstractNumId w:val="33"/>
  </w:num>
  <w:num w:numId="22">
    <w:abstractNumId w:val="30"/>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6"/>
  </w:num>
  <w:num w:numId="26">
    <w:abstractNumId w:val="23"/>
  </w:num>
  <w:num w:numId="27">
    <w:abstractNumId w:val="21"/>
  </w:num>
  <w:num w:numId="28">
    <w:abstractNumId w:val="2"/>
  </w:num>
  <w:num w:numId="29">
    <w:abstractNumId w:val="4"/>
  </w:num>
  <w:num w:numId="30">
    <w:abstractNumId w:val="32"/>
  </w:num>
  <w:num w:numId="31">
    <w:abstractNumId w:val="9"/>
  </w:num>
  <w:num w:numId="32">
    <w:abstractNumId w:val="20"/>
  </w:num>
  <w:num w:numId="33">
    <w:abstractNumId w:val="11"/>
  </w:num>
  <w:num w:numId="34">
    <w:abstractNumId w:val="34"/>
  </w:num>
  <w:num w:numId="35">
    <w:abstractNumId w:val="30"/>
  </w:num>
  <w:num w:numId="36">
    <w:abstractNumId w:val="5"/>
  </w:num>
  <w:num w:numId="37">
    <w:abstractNumId w:val="31"/>
  </w:num>
  <w:num w:numId="38">
    <w:abstractNumId w:val="22"/>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152"/>
    <w:rsid w:val="0001745C"/>
    <w:rsid w:val="00025152"/>
    <w:rsid w:val="0002608E"/>
    <w:rsid w:val="000264C0"/>
    <w:rsid w:val="000376DF"/>
    <w:rsid w:val="00042EC8"/>
    <w:rsid w:val="00055AB4"/>
    <w:rsid w:val="00056B46"/>
    <w:rsid w:val="0005714C"/>
    <w:rsid w:val="000A1676"/>
    <w:rsid w:val="000A7023"/>
    <w:rsid w:val="000E0B57"/>
    <w:rsid w:val="000E211D"/>
    <w:rsid w:val="000F1790"/>
    <w:rsid w:val="00107231"/>
    <w:rsid w:val="00110243"/>
    <w:rsid w:val="00125B1D"/>
    <w:rsid w:val="00125F62"/>
    <w:rsid w:val="00140C7A"/>
    <w:rsid w:val="0014336B"/>
    <w:rsid w:val="00177590"/>
    <w:rsid w:val="001917CA"/>
    <w:rsid w:val="00192962"/>
    <w:rsid w:val="001B1D7B"/>
    <w:rsid w:val="001D693B"/>
    <w:rsid w:val="001E3220"/>
    <w:rsid w:val="001F0BF1"/>
    <w:rsid w:val="002050B6"/>
    <w:rsid w:val="00214135"/>
    <w:rsid w:val="002247C5"/>
    <w:rsid w:val="002403BE"/>
    <w:rsid w:val="00252186"/>
    <w:rsid w:val="002714C5"/>
    <w:rsid w:val="002A01E2"/>
    <w:rsid w:val="002F3391"/>
    <w:rsid w:val="00322F36"/>
    <w:rsid w:val="0032434C"/>
    <w:rsid w:val="00324AE5"/>
    <w:rsid w:val="0033623F"/>
    <w:rsid w:val="00346AE1"/>
    <w:rsid w:val="00357BF2"/>
    <w:rsid w:val="00360ACB"/>
    <w:rsid w:val="003A34D1"/>
    <w:rsid w:val="003A6560"/>
    <w:rsid w:val="003D0AAD"/>
    <w:rsid w:val="003E5D76"/>
    <w:rsid w:val="00406483"/>
    <w:rsid w:val="00451453"/>
    <w:rsid w:val="00472A16"/>
    <w:rsid w:val="00472A9D"/>
    <w:rsid w:val="00474752"/>
    <w:rsid w:val="0048384A"/>
    <w:rsid w:val="004901FE"/>
    <w:rsid w:val="004B19A0"/>
    <w:rsid w:val="004C28A4"/>
    <w:rsid w:val="004E24BA"/>
    <w:rsid w:val="004F2E36"/>
    <w:rsid w:val="00502F86"/>
    <w:rsid w:val="00506B51"/>
    <w:rsid w:val="00531E7D"/>
    <w:rsid w:val="0057756B"/>
    <w:rsid w:val="00587967"/>
    <w:rsid w:val="005B6E54"/>
    <w:rsid w:val="005E4349"/>
    <w:rsid w:val="005F3BAC"/>
    <w:rsid w:val="00624728"/>
    <w:rsid w:val="00673307"/>
    <w:rsid w:val="006A4AA6"/>
    <w:rsid w:val="006B0B84"/>
    <w:rsid w:val="006B0ED8"/>
    <w:rsid w:val="006C42D4"/>
    <w:rsid w:val="006E5FBA"/>
    <w:rsid w:val="006F2DAF"/>
    <w:rsid w:val="006F6CCC"/>
    <w:rsid w:val="00700826"/>
    <w:rsid w:val="00707D35"/>
    <w:rsid w:val="00722AF1"/>
    <w:rsid w:val="007454A8"/>
    <w:rsid w:val="00767788"/>
    <w:rsid w:val="00774D8A"/>
    <w:rsid w:val="0079573B"/>
    <w:rsid w:val="007A3A0E"/>
    <w:rsid w:val="007C12D1"/>
    <w:rsid w:val="007E1123"/>
    <w:rsid w:val="007F7752"/>
    <w:rsid w:val="0081156F"/>
    <w:rsid w:val="0082012A"/>
    <w:rsid w:val="0084112C"/>
    <w:rsid w:val="0087576B"/>
    <w:rsid w:val="008856DA"/>
    <w:rsid w:val="008B03F9"/>
    <w:rsid w:val="008B694D"/>
    <w:rsid w:val="008C15EE"/>
    <w:rsid w:val="008C4377"/>
    <w:rsid w:val="008E6286"/>
    <w:rsid w:val="00914866"/>
    <w:rsid w:val="00944402"/>
    <w:rsid w:val="00944DB2"/>
    <w:rsid w:val="00965B22"/>
    <w:rsid w:val="009A6BE4"/>
    <w:rsid w:val="009D07D4"/>
    <w:rsid w:val="009D0882"/>
    <w:rsid w:val="009E1A20"/>
    <w:rsid w:val="009E7EB9"/>
    <w:rsid w:val="00A13954"/>
    <w:rsid w:val="00A3137D"/>
    <w:rsid w:val="00A33EE4"/>
    <w:rsid w:val="00A6089E"/>
    <w:rsid w:val="00A678AF"/>
    <w:rsid w:val="00A84502"/>
    <w:rsid w:val="00A87353"/>
    <w:rsid w:val="00AA1ED0"/>
    <w:rsid w:val="00AD1E40"/>
    <w:rsid w:val="00AD3D26"/>
    <w:rsid w:val="00AF1586"/>
    <w:rsid w:val="00B47D91"/>
    <w:rsid w:val="00B50C13"/>
    <w:rsid w:val="00B51C08"/>
    <w:rsid w:val="00B71B81"/>
    <w:rsid w:val="00BC49D8"/>
    <w:rsid w:val="00BC7362"/>
    <w:rsid w:val="00BE1C79"/>
    <w:rsid w:val="00BF5A2A"/>
    <w:rsid w:val="00C221F3"/>
    <w:rsid w:val="00C36141"/>
    <w:rsid w:val="00C5294C"/>
    <w:rsid w:val="00C53265"/>
    <w:rsid w:val="00C5378B"/>
    <w:rsid w:val="00C652D6"/>
    <w:rsid w:val="00C75358"/>
    <w:rsid w:val="00C82718"/>
    <w:rsid w:val="00C931FA"/>
    <w:rsid w:val="00C95D7C"/>
    <w:rsid w:val="00C9646C"/>
    <w:rsid w:val="00CA3A08"/>
    <w:rsid w:val="00CB75D5"/>
    <w:rsid w:val="00CF03A3"/>
    <w:rsid w:val="00D04A1F"/>
    <w:rsid w:val="00D16D0E"/>
    <w:rsid w:val="00D51239"/>
    <w:rsid w:val="00D52670"/>
    <w:rsid w:val="00D54180"/>
    <w:rsid w:val="00D84D79"/>
    <w:rsid w:val="00DB0D9A"/>
    <w:rsid w:val="00DD63D0"/>
    <w:rsid w:val="00E016B8"/>
    <w:rsid w:val="00E05BF3"/>
    <w:rsid w:val="00E334C1"/>
    <w:rsid w:val="00E376CB"/>
    <w:rsid w:val="00E4122A"/>
    <w:rsid w:val="00E81233"/>
    <w:rsid w:val="00EB4B5B"/>
    <w:rsid w:val="00ED1C65"/>
    <w:rsid w:val="00F16C88"/>
    <w:rsid w:val="00F24A52"/>
    <w:rsid w:val="00F31364"/>
    <w:rsid w:val="00F32072"/>
    <w:rsid w:val="00F41F47"/>
    <w:rsid w:val="00F52CCA"/>
    <w:rsid w:val="00F77D04"/>
    <w:rsid w:val="00F92ECC"/>
    <w:rsid w:val="00FA3B6C"/>
    <w:rsid w:val="00FD2DEF"/>
    <w:rsid w:val="00FD311A"/>
    <w:rsid w:val="00FD532E"/>
    <w:rsid w:val="00FD6AD8"/>
    <w:rsid w:val="00FE3EB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5A76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A1B"/>
    <w:pPr>
      <w:widowControl w:val="0"/>
      <w:jc w:val="both"/>
    </w:pPr>
    <w:rPr>
      <w:rFonts w:ascii="Times New Roman MT Std" w:hAnsi="Times New Roman MT Std"/>
      <w:lang w:val="en-GB"/>
    </w:rPr>
  </w:style>
  <w:style w:type="paragraph" w:styleId="Heading1">
    <w:name w:val="heading 1"/>
    <w:basedOn w:val="Normal"/>
    <w:next w:val="Normal"/>
    <w:qFormat/>
    <w:rsid w:val="001D4A1B"/>
    <w:pPr>
      <w:keepNext/>
      <w:numPr>
        <w:numId w:val="22"/>
      </w:numPr>
      <w:spacing w:after="120"/>
      <w:jc w:val="left"/>
      <w:outlineLvl w:val="0"/>
    </w:pPr>
    <w:rPr>
      <w:rFonts w:ascii="Times New Roman MT Std Bd" w:hAnsi="Times New Roman MT Std Bd"/>
      <w:kern w:val="28"/>
    </w:rPr>
  </w:style>
  <w:style w:type="paragraph" w:styleId="Heading2">
    <w:name w:val="heading 2"/>
    <w:basedOn w:val="Normal"/>
    <w:next w:val="Normal"/>
    <w:qFormat/>
    <w:rsid w:val="00192C4F"/>
    <w:pPr>
      <w:keepNext/>
      <w:numPr>
        <w:ilvl w:val="1"/>
        <w:numId w:val="24"/>
      </w:numPr>
      <w:spacing w:after="200"/>
      <w:outlineLvl w:val="1"/>
    </w:pPr>
    <w:rPr>
      <w:rFonts w:ascii="Times New Roman MT Std Bd" w:hAnsi="Times New Roman MT Std Bd"/>
    </w:rPr>
  </w:style>
  <w:style w:type="paragraph" w:styleId="Heading3">
    <w:name w:val="heading 3"/>
    <w:basedOn w:val="Normal"/>
    <w:next w:val="Normal"/>
    <w:qFormat/>
    <w:pPr>
      <w:keepNext/>
      <w:spacing w:before="240" w:after="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itle">
    <w:name w:val="Title"/>
    <w:basedOn w:val="Normal"/>
    <w:next w:val="Normal"/>
    <w:qFormat/>
    <w:rsid w:val="00192C4F"/>
    <w:pPr>
      <w:spacing w:after="240"/>
      <w:jc w:val="center"/>
    </w:pPr>
    <w:rPr>
      <w:rFonts w:ascii="Times New Roman MT Std Bd" w:hAnsi="Times New Roman MT Std Bd"/>
      <w:caps/>
      <w:kern w:val="28"/>
      <w:sz w:val="24"/>
    </w:rPr>
  </w:style>
  <w:style w:type="paragraph" w:styleId="List">
    <w:name w:val="List"/>
    <w:basedOn w:val="Normal"/>
    <w:pPr>
      <w:numPr>
        <w:numId w:val="27"/>
      </w:numPr>
    </w:pPr>
  </w:style>
  <w:style w:type="paragraph" w:customStyle="1" w:styleId="Author">
    <w:name w:val="Author"/>
    <w:basedOn w:val="Normal"/>
    <w:rsid w:val="00192C4F"/>
    <w:pPr>
      <w:jc w:val="center"/>
    </w:pPr>
    <w:rPr>
      <w:rFonts w:ascii="Times New Roman MT Std Bd" w:hAnsi="Times New Roman MT Std Bd"/>
      <w:color w:val="000000"/>
    </w:rPr>
  </w:style>
  <w:style w:type="paragraph" w:customStyle="1" w:styleId="Affiliation">
    <w:name w:val="Affiliation"/>
    <w:basedOn w:val="Normal"/>
    <w:rsid w:val="00192C4F"/>
    <w:pPr>
      <w:jc w:val="center"/>
    </w:pPr>
    <w:rPr>
      <w:rFonts w:ascii="Times New Roman MT Std It" w:hAnsi="Times New Roman MT Std It"/>
    </w:rPr>
  </w:style>
  <w:style w:type="character" w:styleId="Hyperlink">
    <w:name w:val="Hyperlink"/>
    <w:rPr>
      <w:color w:val="0000FF"/>
      <w:u w:val="single"/>
    </w:rPr>
  </w:style>
  <w:style w:type="paragraph" w:customStyle="1" w:styleId="Reference">
    <w:name w:val="Reference"/>
    <w:basedOn w:val="Normal"/>
    <w:pPr>
      <w:ind w:left="357" w:hanging="357"/>
    </w:pPr>
  </w:style>
  <w:style w:type="paragraph" w:styleId="Footer">
    <w:name w:val="footer"/>
    <w:basedOn w:val="Normal"/>
    <w:pPr>
      <w:tabs>
        <w:tab w:val="center" w:pos="4320"/>
        <w:tab w:val="right" w:pos="8640"/>
      </w:tabs>
    </w:pPr>
  </w:style>
  <w:style w:type="paragraph" w:styleId="BodyText">
    <w:name w:val="Body Text"/>
    <w:basedOn w:val="Normal"/>
    <w:rsid w:val="00192C4F"/>
    <w:pPr>
      <w:tabs>
        <w:tab w:val="left" w:pos="357"/>
        <w:tab w:val="left" w:pos="714"/>
        <w:tab w:val="left" w:pos="1072"/>
      </w:tabs>
    </w:pPr>
  </w:style>
  <w:style w:type="paragraph" w:customStyle="1" w:styleId="Abstract">
    <w:name w:val="Abstract"/>
    <w:basedOn w:val="Normal"/>
    <w:rsid w:val="00192C4F"/>
    <w:pPr>
      <w:spacing w:after="120"/>
    </w:pPr>
    <w:rPr>
      <w:rFonts w:ascii="Times New Roman MT Std Bd" w:hAnsi="Times New Roman MT Std Bd"/>
      <w:caps/>
    </w:rPr>
  </w:style>
  <w:style w:type="paragraph" w:customStyle="1" w:styleId="NobulletList">
    <w:name w:val="No bullet List"/>
    <w:basedOn w:val="List"/>
    <w:pPr>
      <w:numPr>
        <w:numId w:val="0"/>
      </w:numPr>
      <w:tabs>
        <w:tab w:val="left" w:pos="567"/>
        <w:tab w:val="left" w:pos="1418"/>
      </w:tabs>
    </w:pPr>
  </w:style>
  <w:style w:type="paragraph" w:styleId="FootnoteText">
    <w:name w:val="footnote text"/>
    <w:basedOn w:val="Normal"/>
    <w:link w:val="FootnoteTextChar"/>
    <w:uiPriority w:val="99"/>
    <w:semiHidden/>
    <w:unhideWhenUsed/>
    <w:rsid w:val="0024586B"/>
    <w:rPr>
      <w:sz w:val="24"/>
      <w:szCs w:val="24"/>
      <w:lang w:val="x-none" w:eastAsia="x-none"/>
    </w:rPr>
  </w:style>
  <w:style w:type="character" w:customStyle="1" w:styleId="FootnoteTextChar">
    <w:name w:val="Footnote Text Char"/>
    <w:link w:val="FootnoteText"/>
    <w:uiPriority w:val="99"/>
    <w:semiHidden/>
    <w:rsid w:val="0024586B"/>
    <w:rPr>
      <w:rFonts w:ascii="Times New Roman MT Std" w:hAnsi="Times New Roman MT Std"/>
      <w:sz w:val="24"/>
      <w:szCs w:val="24"/>
    </w:rPr>
  </w:style>
  <w:style w:type="character" w:styleId="FootnoteReference">
    <w:name w:val="footnote reference"/>
    <w:uiPriority w:val="99"/>
    <w:semiHidden/>
    <w:unhideWhenUsed/>
    <w:rsid w:val="0024586B"/>
    <w:rPr>
      <w:vertAlign w:val="superscript"/>
    </w:rPr>
  </w:style>
  <w:style w:type="paragraph" w:styleId="BalloonText">
    <w:name w:val="Balloon Text"/>
    <w:basedOn w:val="Normal"/>
    <w:link w:val="BalloonTextChar"/>
    <w:uiPriority w:val="99"/>
    <w:semiHidden/>
    <w:unhideWhenUsed/>
    <w:rsid w:val="00557FED"/>
    <w:rPr>
      <w:rFonts w:ascii="Lucida Grande" w:hAnsi="Lucida Grande"/>
      <w:sz w:val="18"/>
      <w:szCs w:val="18"/>
      <w:lang w:eastAsia="x-none"/>
    </w:rPr>
  </w:style>
  <w:style w:type="character" w:customStyle="1" w:styleId="BalloonTextChar">
    <w:name w:val="Balloon Text Char"/>
    <w:link w:val="BalloonText"/>
    <w:uiPriority w:val="99"/>
    <w:semiHidden/>
    <w:rsid w:val="00557FED"/>
    <w:rPr>
      <w:rFonts w:ascii="Lucida Grande" w:hAnsi="Lucida Grande"/>
      <w:sz w:val="18"/>
      <w:szCs w:val="18"/>
      <w:lang w:val="en-GB"/>
    </w:rPr>
  </w:style>
  <w:style w:type="character" w:styleId="CommentReference">
    <w:name w:val="annotation reference"/>
    <w:semiHidden/>
    <w:rsid w:val="00F37AD4"/>
    <w:rPr>
      <w:sz w:val="16"/>
      <w:szCs w:val="16"/>
    </w:rPr>
  </w:style>
  <w:style w:type="paragraph" w:styleId="CommentText">
    <w:name w:val="annotation text"/>
    <w:basedOn w:val="Normal"/>
    <w:semiHidden/>
    <w:rsid w:val="00F37AD4"/>
  </w:style>
  <w:style w:type="paragraph" w:styleId="CommentSubject">
    <w:name w:val="annotation subject"/>
    <w:basedOn w:val="CommentText"/>
    <w:next w:val="CommentText"/>
    <w:semiHidden/>
    <w:rsid w:val="00F37AD4"/>
    <w:rPr>
      <w:b/>
      <w:bCs/>
    </w:rPr>
  </w:style>
  <w:style w:type="character" w:styleId="PageNumber">
    <w:name w:val="page number"/>
    <w:basedOn w:val="DefaultParagraphFont"/>
    <w:rsid w:val="00881589"/>
  </w:style>
  <w:style w:type="paragraph" w:styleId="TOC1">
    <w:name w:val="toc 1"/>
    <w:basedOn w:val="Normal"/>
    <w:next w:val="Normal"/>
    <w:autoRedefine/>
    <w:semiHidden/>
    <w:rsid w:val="00506B51"/>
    <w:pPr>
      <w:keepLines/>
      <w:numPr>
        <w:numId w:val="39"/>
      </w:numPr>
      <w:tabs>
        <w:tab w:val="left" w:pos="270"/>
      </w:tabs>
      <w:ind w:left="180" w:hanging="180"/>
    </w:pPr>
  </w:style>
  <w:style w:type="character" w:customStyle="1" w:styleId="frlabel">
    <w:name w:val="fr_label"/>
    <w:basedOn w:val="DefaultParagraphFont"/>
    <w:rsid w:val="00825C2B"/>
  </w:style>
  <w:style w:type="character" w:customStyle="1" w:styleId="pbcitationheader">
    <w:name w:val="pb_citation_header"/>
    <w:basedOn w:val="DefaultParagraphFont"/>
    <w:rsid w:val="00676E00"/>
  </w:style>
  <w:style w:type="character" w:customStyle="1" w:styleId="frsourcelabel">
    <w:name w:val="fr_source_label"/>
    <w:basedOn w:val="DefaultParagraphFont"/>
    <w:rsid w:val="00E0586B"/>
  </w:style>
  <w:style w:type="character" w:customStyle="1" w:styleId="databold">
    <w:name w:val="data_bold"/>
    <w:basedOn w:val="DefaultParagraphFont"/>
    <w:rsid w:val="00F22B0F"/>
  </w:style>
  <w:style w:type="character" w:styleId="FollowedHyperlink">
    <w:name w:val="FollowedHyperlink"/>
    <w:basedOn w:val="DefaultParagraphFont"/>
    <w:uiPriority w:val="99"/>
    <w:semiHidden/>
    <w:unhideWhenUsed/>
    <w:rsid w:val="00B51C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A1B"/>
    <w:pPr>
      <w:widowControl w:val="0"/>
      <w:jc w:val="both"/>
    </w:pPr>
    <w:rPr>
      <w:rFonts w:ascii="Times New Roman MT Std" w:hAnsi="Times New Roman MT Std"/>
      <w:lang w:val="en-GB"/>
    </w:rPr>
  </w:style>
  <w:style w:type="paragraph" w:styleId="Heading1">
    <w:name w:val="heading 1"/>
    <w:basedOn w:val="Normal"/>
    <w:next w:val="Normal"/>
    <w:qFormat/>
    <w:rsid w:val="001D4A1B"/>
    <w:pPr>
      <w:keepNext/>
      <w:numPr>
        <w:numId w:val="22"/>
      </w:numPr>
      <w:spacing w:after="120"/>
      <w:jc w:val="left"/>
      <w:outlineLvl w:val="0"/>
    </w:pPr>
    <w:rPr>
      <w:rFonts w:ascii="Times New Roman MT Std Bd" w:hAnsi="Times New Roman MT Std Bd"/>
      <w:kern w:val="28"/>
    </w:rPr>
  </w:style>
  <w:style w:type="paragraph" w:styleId="Heading2">
    <w:name w:val="heading 2"/>
    <w:basedOn w:val="Normal"/>
    <w:next w:val="Normal"/>
    <w:qFormat/>
    <w:rsid w:val="00192C4F"/>
    <w:pPr>
      <w:keepNext/>
      <w:numPr>
        <w:ilvl w:val="1"/>
        <w:numId w:val="24"/>
      </w:numPr>
      <w:spacing w:after="200"/>
      <w:outlineLvl w:val="1"/>
    </w:pPr>
    <w:rPr>
      <w:rFonts w:ascii="Times New Roman MT Std Bd" w:hAnsi="Times New Roman MT Std Bd"/>
    </w:rPr>
  </w:style>
  <w:style w:type="paragraph" w:styleId="Heading3">
    <w:name w:val="heading 3"/>
    <w:basedOn w:val="Normal"/>
    <w:next w:val="Normal"/>
    <w:qFormat/>
    <w:pPr>
      <w:keepNext/>
      <w:spacing w:before="240" w:after="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itle">
    <w:name w:val="Title"/>
    <w:basedOn w:val="Normal"/>
    <w:next w:val="Normal"/>
    <w:qFormat/>
    <w:rsid w:val="00192C4F"/>
    <w:pPr>
      <w:spacing w:after="240"/>
      <w:jc w:val="center"/>
    </w:pPr>
    <w:rPr>
      <w:rFonts w:ascii="Times New Roman MT Std Bd" w:hAnsi="Times New Roman MT Std Bd"/>
      <w:caps/>
      <w:kern w:val="28"/>
      <w:sz w:val="24"/>
    </w:rPr>
  </w:style>
  <w:style w:type="paragraph" w:styleId="List">
    <w:name w:val="List"/>
    <w:basedOn w:val="Normal"/>
    <w:pPr>
      <w:numPr>
        <w:numId w:val="27"/>
      </w:numPr>
    </w:pPr>
  </w:style>
  <w:style w:type="paragraph" w:customStyle="1" w:styleId="Author">
    <w:name w:val="Author"/>
    <w:basedOn w:val="Normal"/>
    <w:rsid w:val="00192C4F"/>
    <w:pPr>
      <w:jc w:val="center"/>
    </w:pPr>
    <w:rPr>
      <w:rFonts w:ascii="Times New Roman MT Std Bd" w:hAnsi="Times New Roman MT Std Bd"/>
      <w:color w:val="000000"/>
    </w:rPr>
  </w:style>
  <w:style w:type="paragraph" w:customStyle="1" w:styleId="Affiliation">
    <w:name w:val="Affiliation"/>
    <w:basedOn w:val="Normal"/>
    <w:rsid w:val="00192C4F"/>
    <w:pPr>
      <w:jc w:val="center"/>
    </w:pPr>
    <w:rPr>
      <w:rFonts w:ascii="Times New Roman MT Std It" w:hAnsi="Times New Roman MT Std It"/>
    </w:rPr>
  </w:style>
  <w:style w:type="character" w:styleId="Hyperlink">
    <w:name w:val="Hyperlink"/>
    <w:rPr>
      <w:color w:val="0000FF"/>
      <w:u w:val="single"/>
    </w:rPr>
  </w:style>
  <w:style w:type="paragraph" w:customStyle="1" w:styleId="Reference">
    <w:name w:val="Reference"/>
    <w:basedOn w:val="Normal"/>
    <w:pPr>
      <w:ind w:left="357" w:hanging="357"/>
    </w:pPr>
  </w:style>
  <w:style w:type="paragraph" w:styleId="Footer">
    <w:name w:val="footer"/>
    <w:basedOn w:val="Normal"/>
    <w:pPr>
      <w:tabs>
        <w:tab w:val="center" w:pos="4320"/>
        <w:tab w:val="right" w:pos="8640"/>
      </w:tabs>
    </w:pPr>
  </w:style>
  <w:style w:type="paragraph" w:styleId="BodyText">
    <w:name w:val="Body Text"/>
    <w:basedOn w:val="Normal"/>
    <w:rsid w:val="00192C4F"/>
    <w:pPr>
      <w:tabs>
        <w:tab w:val="left" w:pos="357"/>
        <w:tab w:val="left" w:pos="714"/>
        <w:tab w:val="left" w:pos="1072"/>
      </w:tabs>
    </w:pPr>
  </w:style>
  <w:style w:type="paragraph" w:customStyle="1" w:styleId="Abstract">
    <w:name w:val="Abstract"/>
    <w:basedOn w:val="Normal"/>
    <w:rsid w:val="00192C4F"/>
    <w:pPr>
      <w:spacing w:after="120"/>
    </w:pPr>
    <w:rPr>
      <w:rFonts w:ascii="Times New Roman MT Std Bd" w:hAnsi="Times New Roman MT Std Bd"/>
      <w:caps/>
    </w:rPr>
  </w:style>
  <w:style w:type="paragraph" w:customStyle="1" w:styleId="NobulletList">
    <w:name w:val="No bullet List"/>
    <w:basedOn w:val="List"/>
    <w:pPr>
      <w:numPr>
        <w:numId w:val="0"/>
      </w:numPr>
      <w:tabs>
        <w:tab w:val="left" w:pos="567"/>
        <w:tab w:val="left" w:pos="1418"/>
      </w:tabs>
    </w:pPr>
  </w:style>
  <w:style w:type="paragraph" w:styleId="FootnoteText">
    <w:name w:val="footnote text"/>
    <w:basedOn w:val="Normal"/>
    <w:link w:val="FootnoteTextChar"/>
    <w:uiPriority w:val="99"/>
    <w:semiHidden/>
    <w:unhideWhenUsed/>
    <w:rsid w:val="0024586B"/>
    <w:rPr>
      <w:sz w:val="24"/>
      <w:szCs w:val="24"/>
      <w:lang w:val="x-none" w:eastAsia="x-none"/>
    </w:rPr>
  </w:style>
  <w:style w:type="character" w:customStyle="1" w:styleId="FootnoteTextChar">
    <w:name w:val="Footnote Text Char"/>
    <w:link w:val="FootnoteText"/>
    <w:uiPriority w:val="99"/>
    <w:semiHidden/>
    <w:rsid w:val="0024586B"/>
    <w:rPr>
      <w:rFonts w:ascii="Times New Roman MT Std" w:hAnsi="Times New Roman MT Std"/>
      <w:sz w:val="24"/>
      <w:szCs w:val="24"/>
    </w:rPr>
  </w:style>
  <w:style w:type="character" w:styleId="FootnoteReference">
    <w:name w:val="footnote reference"/>
    <w:uiPriority w:val="99"/>
    <w:semiHidden/>
    <w:unhideWhenUsed/>
    <w:rsid w:val="0024586B"/>
    <w:rPr>
      <w:vertAlign w:val="superscript"/>
    </w:rPr>
  </w:style>
  <w:style w:type="paragraph" w:styleId="BalloonText">
    <w:name w:val="Balloon Text"/>
    <w:basedOn w:val="Normal"/>
    <w:link w:val="BalloonTextChar"/>
    <w:uiPriority w:val="99"/>
    <w:semiHidden/>
    <w:unhideWhenUsed/>
    <w:rsid w:val="00557FED"/>
    <w:rPr>
      <w:rFonts w:ascii="Lucida Grande" w:hAnsi="Lucida Grande"/>
      <w:sz w:val="18"/>
      <w:szCs w:val="18"/>
      <w:lang w:eastAsia="x-none"/>
    </w:rPr>
  </w:style>
  <w:style w:type="character" w:customStyle="1" w:styleId="BalloonTextChar">
    <w:name w:val="Balloon Text Char"/>
    <w:link w:val="BalloonText"/>
    <w:uiPriority w:val="99"/>
    <w:semiHidden/>
    <w:rsid w:val="00557FED"/>
    <w:rPr>
      <w:rFonts w:ascii="Lucida Grande" w:hAnsi="Lucida Grande"/>
      <w:sz w:val="18"/>
      <w:szCs w:val="18"/>
      <w:lang w:val="en-GB"/>
    </w:rPr>
  </w:style>
  <w:style w:type="character" w:styleId="CommentReference">
    <w:name w:val="annotation reference"/>
    <w:semiHidden/>
    <w:rsid w:val="00F37AD4"/>
    <w:rPr>
      <w:sz w:val="16"/>
      <w:szCs w:val="16"/>
    </w:rPr>
  </w:style>
  <w:style w:type="paragraph" w:styleId="CommentText">
    <w:name w:val="annotation text"/>
    <w:basedOn w:val="Normal"/>
    <w:semiHidden/>
    <w:rsid w:val="00F37AD4"/>
  </w:style>
  <w:style w:type="paragraph" w:styleId="CommentSubject">
    <w:name w:val="annotation subject"/>
    <w:basedOn w:val="CommentText"/>
    <w:next w:val="CommentText"/>
    <w:semiHidden/>
    <w:rsid w:val="00F37AD4"/>
    <w:rPr>
      <w:b/>
      <w:bCs/>
    </w:rPr>
  </w:style>
  <w:style w:type="character" w:styleId="PageNumber">
    <w:name w:val="page number"/>
    <w:basedOn w:val="DefaultParagraphFont"/>
    <w:rsid w:val="00881589"/>
  </w:style>
  <w:style w:type="paragraph" w:styleId="TOC1">
    <w:name w:val="toc 1"/>
    <w:basedOn w:val="Normal"/>
    <w:next w:val="Normal"/>
    <w:autoRedefine/>
    <w:semiHidden/>
    <w:rsid w:val="00506B51"/>
    <w:pPr>
      <w:keepLines/>
      <w:numPr>
        <w:numId w:val="39"/>
      </w:numPr>
      <w:tabs>
        <w:tab w:val="left" w:pos="270"/>
      </w:tabs>
      <w:ind w:left="180" w:hanging="180"/>
    </w:pPr>
  </w:style>
  <w:style w:type="character" w:customStyle="1" w:styleId="frlabel">
    <w:name w:val="fr_label"/>
    <w:basedOn w:val="DefaultParagraphFont"/>
    <w:rsid w:val="00825C2B"/>
  </w:style>
  <w:style w:type="character" w:customStyle="1" w:styleId="pbcitationheader">
    <w:name w:val="pb_citation_header"/>
    <w:basedOn w:val="DefaultParagraphFont"/>
    <w:rsid w:val="00676E00"/>
  </w:style>
  <w:style w:type="character" w:customStyle="1" w:styleId="frsourcelabel">
    <w:name w:val="fr_source_label"/>
    <w:basedOn w:val="DefaultParagraphFont"/>
    <w:rsid w:val="00E0586B"/>
  </w:style>
  <w:style w:type="character" w:customStyle="1" w:styleId="databold">
    <w:name w:val="data_bold"/>
    <w:basedOn w:val="DefaultParagraphFont"/>
    <w:rsid w:val="00F22B0F"/>
  </w:style>
  <w:style w:type="character" w:styleId="FollowedHyperlink">
    <w:name w:val="FollowedHyperlink"/>
    <w:basedOn w:val="DefaultParagraphFont"/>
    <w:uiPriority w:val="99"/>
    <w:semiHidden/>
    <w:unhideWhenUsed/>
    <w:rsid w:val="00B51C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986504">
      <w:bodyDiv w:val="1"/>
      <w:marLeft w:val="0"/>
      <w:marRight w:val="0"/>
      <w:marTop w:val="0"/>
      <w:marBottom w:val="0"/>
      <w:divBdr>
        <w:top w:val="none" w:sz="0" w:space="0" w:color="auto"/>
        <w:left w:val="none" w:sz="0" w:space="0" w:color="auto"/>
        <w:bottom w:val="none" w:sz="0" w:space="0" w:color="auto"/>
        <w:right w:val="none" w:sz="0" w:space="0" w:color="auto"/>
      </w:divBdr>
      <w:divsChild>
        <w:div w:id="1544319452">
          <w:marLeft w:val="0"/>
          <w:marRight w:val="0"/>
          <w:marTop w:val="0"/>
          <w:marBottom w:val="0"/>
          <w:divBdr>
            <w:top w:val="none" w:sz="0" w:space="0" w:color="auto"/>
            <w:left w:val="none" w:sz="0" w:space="0" w:color="auto"/>
            <w:bottom w:val="none" w:sz="0" w:space="0" w:color="auto"/>
            <w:right w:val="none" w:sz="0" w:space="0" w:color="auto"/>
          </w:divBdr>
        </w:div>
        <w:div w:id="1347949069">
          <w:marLeft w:val="0"/>
          <w:marRight w:val="0"/>
          <w:marTop w:val="0"/>
          <w:marBottom w:val="0"/>
          <w:divBdr>
            <w:top w:val="none" w:sz="0" w:space="0" w:color="auto"/>
            <w:left w:val="none" w:sz="0" w:space="0" w:color="auto"/>
            <w:bottom w:val="none" w:sz="0" w:space="0" w:color="auto"/>
            <w:right w:val="none" w:sz="0" w:space="0" w:color="auto"/>
          </w:divBdr>
          <w:divsChild>
            <w:div w:id="305668053">
              <w:marLeft w:val="0"/>
              <w:marRight w:val="0"/>
              <w:marTop w:val="0"/>
              <w:marBottom w:val="0"/>
              <w:divBdr>
                <w:top w:val="none" w:sz="0" w:space="0" w:color="auto"/>
                <w:left w:val="none" w:sz="0" w:space="0" w:color="auto"/>
                <w:bottom w:val="none" w:sz="0" w:space="0" w:color="auto"/>
                <w:right w:val="none" w:sz="0" w:space="0" w:color="auto"/>
              </w:divBdr>
              <w:divsChild>
                <w:div w:id="7198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mith@coaps.fsu.ed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mailto:bourassa@coaps.fsu.edu"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Huai-min.Zhang@noaa.gov"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ott.D.Woodruff@noaa.gov"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rweller@whoi.edu" TargetMode="External"/><Relationship Id="rId23" Type="http://schemas.openxmlformats.org/officeDocument/2006/relationships/footer" Target="footer3.xml"/><Relationship Id="rId10" Type="http://schemas.openxmlformats.org/officeDocument/2006/relationships/hyperlink" Target="mailto:gary.a.wick@noaa.gov"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Chris.Fairall@noaa.gov" TargetMode="External"/><Relationship Id="rId14" Type="http://schemas.openxmlformats.org/officeDocument/2006/relationships/hyperlink" Target="mailto:Meghan.F.Cronin@noaa.gov" TargetMode="External"/><Relationship Id="rId22"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8842E-54CF-461F-9A56-2784A31F6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3642</Words>
  <Characters>20766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SP-636 Envisat Symposium</vt:lpstr>
    </vt:vector>
  </TitlesOfParts>
  <Company>European Space Agency - ESTEC</Company>
  <LinksUpToDate>false</LinksUpToDate>
  <CharactersWithSpaces>24360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SP-636 Envisat Symposium</dc:title>
  <dc:subject>Conference Proceedings - Instructions to Authors</dc:subject>
  <dc:creator>Huguette Lacoste, Editor</dc:creator>
  <cp:lastModifiedBy>cfairall</cp:lastModifiedBy>
  <cp:revision>4</cp:revision>
  <cp:lastPrinted>2012-07-16T21:45:00Z</cp:lastPrinted>
  <dcterms:created xsi:type="dcterms:W3CDTF">2012-07-20T15:02:00Z</dcterms:created>
  <dcterms:modified xsi:type="dcterms:W3CDTF">2012-07-20T15:10:00Z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H. Lacoste</vt:lpwstr>
  </property>
  <property fmtid="{D5CDD505-2E9C-101B-9397-08002B2CF9AE}" pid="3" name="Destination">
    <vt:lpwstr>Envisat Authors</vt:lpwstr>
  </property>
  <property fmtid="{D5CDD505-2E9C-101B-9397-08002B2CF9AE}" pid="4" name="Language">
    <vt:lpwstr>English</vt:lpwstr>
  </property>
  <property fmtid="{D5CDD505-2E9C-101B-9397-08002B2CF9AE}" pid="5" name="Publisher">
    <vt:lpwstr>ESA Publications</vt:lpwstr>
  </property>
</Properties>
</file>