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47" w:rsidRPr="00191147" w:rsidRDefault="00191147" w:rsidP="00191147">
      <w:pPr>
        <w:spacing w:before="240" w:after="120"/>
        <w:rPr>
          <w:b/>
        </w:rPr>
      </w:pPr>
      <w:r w:rsidRPr="00191147">
        <w:rPr>
          <w:b/>
        </w:rPr>
        <w:t>Background</w:t>
      </w:r>
    </w:p>
    <w:p w:rsidR="005B07C0" w:rsidRDefault="005B07C0" w:rsidP="005B07C0">
      <w:pPr>
        <w:spacing w:before="240" w:after="120"/>
        <w:ind w:firstLine="720"/>
      </w:pPr>
      <w:r>
        <w:t>Estimation of errors in standard PSP radiative flux radiometers (</w:t>
      </w:r>
      <w:proofErr w:type="spellStart"/>
      <w:r>
        <w:t>pyranmeter</w:t>
      </w:r>
      <w:r w:rsidR="00960243">
        <w:t>s</w:t>
      </w:r>
      <w:proofErr w:type="spellEnd"/>
      <w:r>
        <w:t xml:space="preserve">) begins with the relationship of the radiance (radiant flux from a particular location in the sky), </w:t>
      </w:r>
      <w:r w:rsidRPr="00474B14">
        <w:rPr>
          <w:i/>
        </w:rPr>
        <w:t>I</w:t>
      </w:r>
      <w:r>
        <w:t xml:space="preserve">, to the irradiance (total flux normal to a horizontal plane), </w:t>
      </w:r>
      <w:r w:rsidRPr="00474B14">
        <w:rPr>
          <w:i/>
        </w:rPr>
        <w:t>R</w:t>
      </w:r>
      <w:r>
        <w:t xml:space="preserve"> (W/m</w:t>
      </w:r>
      <w:r>
        <w:rPr>
          <w:vertAlign w:val="superscript"/>
        </w:rPr>
        <w:t>2</w:t>
      </w:r>
      <w:r>
        <w:t>)</w:t>
      </w:r>
    </w:p>
    <w:p w:rsidR="005B07C0" w:rsidRDefault="005B07C0" w:rsidP="00AB2F81">
      <w:pPr>
        <w:spacing w:after="120"/>
        <w:ind w:firstLine="720"/>
      </w:pPr>
      <w:r w:rsidRPr="00652BE3">
        <w:rPr>
          <w:position w:val="-16"/>
        </w:rPr>
        <w:object w:dxaOrig="23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21.75pt" o:ole="">
            <v:imagedata r:id="rId6" o:title=""/>
          </v:shape>
          <o:OLEObject Type="Embed" ProgID="Equation.3" ShapeID="_x0000_i1025" DrawAspect="Content" ObjectID="_1350195316" r:id="rId7"/>
        </w:object>
      </w:r>
      <w:r>
        <w:t>,</w:t>
      </w:r>
      <w:r w:rsidR="00AB2F81">
        <w:tab/>
      </w:r>
      <w:r w:rsidR="00AB2F81">
        <w:tab/>
      </w:r>
      <w:r w:rsidR="00AB2F81">
        <w:tab/>
      </w:r>
      <w:r w:rsidR="00AB2F81">
        <w:tab/>
      </w:r>
      <w:r w:rsidR="00AB2F81">
        <w:tab/>
      </w:r>
      <w:r w:rsidR="00AB2F81">
        <w:tab/>
      </w:r>
      <w:r w:rsidR="00AB2F81">
        <w:tab/>
      </w:r>
      <w:r w:rsidR="00B70245">
        <w:tab/>
      </w:r>
      <w:r w:rsidR="00AB2F81">
        <w:t>(1)</w:t>
      </w:r>
      <w:r w:rsidR="00AB2F81">
        <w:tab/>
      </w:r>
      <w:r w:rsidR="00AB2F81">
        <w:tab/>
      </w:r>
      <w:r w:rsidR="00AB2F81">
        <w:tab/>
      </w:r>
      <w:r w:rsidR="00AB2F81">
        <w:tab/>
      </w:r>
      <w:r w:rsidR="00AB2F81">
        <w:tab/>
      </w:r>
      <w:r w:rsidR="00AB2F81">
        <w:tab/>
      </w:r>
    </w:p>
    <w:p w:rsidR="005B07C0" w:rsidRDefault="005B07C0" w:rsidP="00AB2F81">
      <w:pPr>
        <w:spacing w:after="120"/>
      </w:pPr>
      <w:proofErr w:type="gramStart"/>
      <w:r>
        <w:t>where</w:t>
      </w:r>
      <w:proofErr w:type="gramEnd"/>
      <w:r>
        <w:t xml:space="preserve"> φ is the azimuth angle, θ is the zenith angle, and </w:t>
      </w:r>
      <w:proofErr w:type="spellStart"/>
      <w:r w:rsidRPr="00474B14">
        <w:rPr>
          <w:i/>
        </w:rPr>
        <w:t>d</w:t>
      </w:r>
      <w:r>
        <w:t>Ω</w:t>
      </w:r>
      <w:proofErr w:type="spellEnd"/>
      <w:r>
        <w:t>=sin(θ)</w:t>
      </w:r>
      <w:proofErr w:type="spellStart"/>
      <w:r>
        <w:t>dθdφ</w:t>
      </w:r>
      <w:proofErr w:type="spellEnd"/>
      <w:r>
        <w:t xml:space="preserve"> is the incremental solid angle.</w:t>
      </w:r>
    </w:p>
    <w:p w:rsidR="005B07C0" w:rsidRDefault="005B07C0" w:rsidP="00B70245">
      <w:pPr>
        <w:spacing w:after="120"/>
        <w:ind w:firstLine="720"/>
      </w:pPr>
      <w:r>
        <w:t xml:space="preserve">A </w:t>
      </w:r>
      <w:proofErr w:type="spellStart"/>
      <w:r>
        <w:t>pyranometer</w:t>
      </w:r>
      <w:proofErr w:type="spellEnd"/>
      <w:r>
        <w:t xml:space="preserve"> produces a voltage approximately proportional to the </w:t>
      </w:r>
      <w:proofErr w:type="spellStart"/>
      <w:r>
        <w:t>downwelling</w:t>
      </w:r>
      <w:proofErr w:type="spellEnd"/>
      <w:r>
        <w:t xml:space="preserve"> solar radiation integrated over the hemisphere of the sky.  We assume the </w:t>
      </w:r>
      <w:proofErr w:type="spellStart"/>
      <w:r>
        <w:t>downwelling</w:t>
      </w:r>
      <w:proofErr w:type="spellEnd"/>
      <w:r>
        <w:t xml:space="preserve"> flux is a combination of the direct beam of the sun, </w:t>
      </w:r>
      <w:r w:rsidRPr="00960243">
        <w:rPr>
          <w:i/>
        </w:rPr>
        <w:t>I</w:t>
      </w:r>
      <w:r w:rsidRPr="00960243">
        <w:rPr>
          <w:i/>
          <w:vertAlign w:val="subscript"/>
        </w:rPr>
        <w:t>s</w:t>
      </w:r>
      <w:r>
        <w:t>, at angular position (</w:t>
      </w:r>
      <w:proofErr w:type="spellStart"/>
      <w:r>
        <w:t>ϕ</w:t>
      </w:r>
      <w:r w:rsidRPr="005B07C0">
        <w:rPr>
          <w:vertAlign w:val="subscript"/>
        </w:rPr>
        <w:t>s</w:t>
      </w:r>
      <w:proofErr w:type="spellEnd"/>
      <w:r>
        <w:t xml:space="preserve"> ,</w:t>
      </w:r>
      <w:proofErr w:type="spellStart"/>
      <w:r>
        <w:t>θ</w:t>
      </w:r>
      <w:r w:rsidRPr="005B07C0">
        <w:rPr>
          <w:vertAlign w:val="subscript"/>
        </w:rPr>
        <w:t>s</w:t>
      </w:r>
      <w:proofErr w:type="spellEnd"/>
      <w:r>
        <w:t xml:space="preserve">) which occupies a small solid angle, </w:t>
      </w:r>
      <w:proofErr w:type="spellStart"/>
      <w:r w:rsidRPr="00474B14">
        <w:rPr>
          <w:i/>
        </w:rPr>
        <w:t>d</w:t>
      </w:r>
      <w:r>
        <w:t>Ω</w:t>
      </w:r>
      <w:r w:rsidRPr="005B07C0">
        <w:rPr>
          <w:vertAlign w:val="subscript"/>
        </w:rPr>
        <w:t>s</w:t>
      </w:r>
      <w:proofErr w:type="spellEnd"/>
      <w:r>
        <w:t>, plus forward scattered radiation</w:t>
      </w:r>
      <w:r w:rsidR="00960243">
        <w:t xml:space="preserve">, </w:t>
      </w:r>
      <w:r w:rsidR="00960243" w:rsidRPr="00517F23">
        <w:rPr>
          <w:i/>
        </w:rPr>
        <w:t>I</w:t>
      </w:r>
      <w:r w:rsidR="00960243" w:rsidRPr="00517F23">
        <w:rPr>
          <w:i/>
          <w:vertAlign w:val="subscript"/>
        </w:rPr>
        <w:t>d</w:t>
      </w:r>
      <w:r w:rsidR="00960243">
        <w:t>,</w:t>
      </w:r>
      <w:r>
        <w:t xml:space="preserve"> usually referred to as the ‘diffuse com</w:t>
      </w:r>
      <w:r w:rsidR="00960243">
        <w:t>p</w:t>
      </w:r>
      <w:r>
        <w:t xml:space="preserve">onent’.  </w:t>
      </w:r>
      <w:r w:rsidR="00960243">
        <w:t xml:space="preserve">For our purposes here, we assume the diffuse component is approximately </w:t>
      </w:r>
      <w:r>
        <w:t>iso</w:t>
      </w:r>
      <w:r w:rsidR="00517F23">
        <w:t>tropic (independent of φ and θ); thus</w:t>
      </w:r>
      <w:r>
        <w:t xml:space="preserve"> the integral </w:t>
      </w:r>
      <w:r w:rsidR="00960243">
        <w:t xml:space="preserve">for an ideal sensor </w:t>
      </w:r>
      <w:r>
        <w:t>becomes</w:t>
      </w:r>
      <w:r w:rsidR="00497A2F">
        <w:t>.</w:t>
      </w:r>
    </w:p>
    <w:p w:rsidR="00960243" w:rsidRDefault="00960243" w:rsidP="00B70245">
      <w:pPr>
        <w:spacing w:after="120"/>
      </w:pPr>
      <w:r w:rsidRPr="00D70D97">
        <w:rPr>
          <w:position w:val="-32"/>
        </w:rPr>
        <w:object w:dxaOrig="7900" w:dyaOrig="760">
          <v:shape id="_x0000_i1026" type="#_x0000_t75" style="width:395.25pt;height:38.25pt" o:ole="">
            <v:imagedata r:id="rId8" o:title=""/>
          </v:shape>
          <o:OLEObject Type="Embed" ProgID="Equation.3" ShapeID="_x0000_i1026" DrawAspect="Content" ObjectID="_1350195317" r:id="rId9"/>
        </w:object>
      </w:r>
      <w:r w:rsidR="00B70245">
        <w:tab/>
      </w:r>
      <w:r w:rsidR="00B70245">
        <w:tab/>
        <w:t>(2)</w:t>
      </w:r>
    </w:p>
    <w:p w:rsidR="00960243" w:rsidRDefault="00960243" w:rsidP="00B70245">
      <w:pPr>
        <w:spacing w:after="120"/>
      </w:pPr>
      <w:r>
        <w:tab/>
        <w:t>Now consider the simple case of a non-ideal sensor where the absor</w:t>
      </w:r>
      <w:r w:rsidR="00FA2387">
        <w:t>p</w:t>
      </w:r>
      <w:r>
        <w:t>tion of solar radiation depends on zenith angle as desc</w:t>
      </w:r>
      <w:r w:rsidR="00191147">
        <w:t>ribed by the response function,</w:t>
      </w:r>
      <w:r>
        <w:t xml:space="preserve"> </w:t>
      </w:r>
      <w:proofErr w:type="gramStart"/>
      <w:r w:rsidRPr="00960243">
        <w:rPr>
          <w:i/>
        </w:rPr>
        <w:t>f</w:t>
      </w:r>
      <w:r>
        <w:t>(</w:t>
      </w:r>
      <w:proofErr w:type="gramEnd"/>
      <w:r>
        <w:t>θ).  The effective flux of the diffuse component will be an integral</w:t>
      </w:r>
    </w:p>
    <w:p w:rsidR="00960243" w:rsidRDefault="00FA2387" w:rsidP="00B70245">
      <w:pPr>
        <w:spacing w:after="80"/>
      </w:pPr>
      <w:r w:rsidRPr="00D70D97">
        <w:rPr>
          <w:position w:val="-32"/>
        </w:rPr>
        <w:object w:dxaOrig="6200" w:dyaOrig="760">
          <v:shape id="_x0000_i1027" type="#_x0000_t75" style="width:309.75pt;height:38.25pt" o:ole="">
            <v:imagedata r:id="rId10" o:title=""/>
          </v:shape>
          <o:OLEObject Type="Embed" ProgID="Equation.3" ShapeID="_x0000_i1027" DrawAspect="Content" ObjectID="_1350195318" r:id="rId11"/>
        </w:object>
      </w:r>
      <w:r w:rsidR="00B70245">
        <w:tab/>
      </w:r>
      <w:r w:rsidR="00B70245">
        <w:tab/>
      </w:r>
      <w:r w:rsidR="00B70245">
        <w:tab/>
      </w:r>
      <w:r w:rsidR="00B70245">
        <w:tab/>
        <w:t>(3)</w:t>
      </w:r>
    </w:p>
    <w:p w:rsidR="00B51899" w:rsidRDefault="00FA2387" w:rsidP="00B70245">
      <w:pPr>
        <w:spacing w:after="200" w:line="276" w:lineRule="auto"/>
      </w:pPr>
      <w:r>
        <w:t xml:space="preserve">If the response function is 1.0 then the integral yields 0.5 and the measured diffuse flux is the correct flux.  In Fig. 1 we show that the angular factor </w:t>
      </w:r>
      <w:proofErr w:type="gramStart"/>
      <w:r>
        <w:t>sin(</w:t>
      </w:r>
      <w:proofErr w:type="gramEnd"/>
      <w:r>
        <w:t>θ)</w:t>
      </w:r>
      <w:r w:rsidRPr="00FA2387">
        <w:t xml:space="preserve"> </w:t>
      </w:r>
      <w:proofErr w:type="spellStart"/>
      <w:r>
        <w:t>cos</w:t>
      </w:r>
      <w:proofErr w:type="spellEnd"/>
      <w:r>
        <w:t xml:space="preserve">(θ) peaks at θ=45 deg.  The response function commonly takes a form near 1.0 at θ near zero and decreases modestly as zenith angle increases, often with some slight </w:t>
      </w:r>
      <w:r w:rsidR="00CE10B8">
        <w:t xml:space="preserve">downward </w:t>
      </w:r>
      <w:r>
        <w:t xml:space="preserve">curvature.  </w:t>
      </w:r>
    </w:p>
    <w:p w:rsidR="00AB2F81" w:rsidRDefault="00FA2387" w:rsidP="00B51899">
      <w:pPr>
        <w:spacing w:after="200" w:line="276" w:lineRule="auto"/>
        <w:ind w:firstLine="720"/>
      </w:pPr>
      <w:r>
        <w:t xml:space="preserve">It is easy to demonstrate that for reasonably weak angular dependence of </w:t>
      </w:r>
      <w:proofErr w:type="gramStart"/>
      <w:r w:rsidRPr="00960243">
        <w:rPr>
          <w:i/>
        </w:rPr>
        <w:t>f</w:t>
      </w:r>
      <w:r>
        <w:t>(</w:t>
      </w:r>
      <w:proofErr w:type="gramEnd"/>
      <w:r>
        <w:t>θ) normalizing by the value at θ=45 deg causes the error in (</w:t>
      </w:r>
      <w:r w:rsidR="00CE10B8">
        <w:t xml:space="preserve">3) to cancel to first order.  </w:t>
      </w:r>
      <w:r w:rsidR="00B51899">
        <w:t xml:space="preserve">This is the principal reason that one approach to calibrating </w:t>
      </w:r>
      <w:proofErr w:type="spellStart"/>
      <w:r w:rsidR="00B51899">
        <w:t>pyranometers</w:t>
      </w:r>
      <w:proofErr w:type="spellEnd"/>
      <w:r w:rsidR="00B51899">
        <w:t xml:space="preserve"> is to set the </w:t>
      </w:r>
      <w:r w:rsidR="00EB2364">
        <w:t xml:space="preserve">flux-voltage </w:t>
      </w:r>
      <w:r w:rsidR="00B51899">
        <w:t>calibration coefficient to give the correct solar flu</w:t>
      </w:r>
      <w:r w:rsidR="00EB2364">
        <w:t>x when the solar zenith angle near</w:t>
      </w:r>
      <w:r w:rsidR="00B51899">
        <w:t xml:space="preserve"> 45 deg.  </w:t>
      </w:r>
      <w:r w:rsidR="00CE10B8">
        <w:t>For example</w:t>
      </w:r>
      <w:r>
        <w:t xml:space="preserve"> we select a linear dependence for </w:t>
      </w:r>
      <w:proofErr w:type="gramStart"/>
      <w:r w:rsidRPr="00960243">
        <w:rPr>
          <w:i/>
        </w:rPr>
        <w:t>f</w:t>
      </w:r>
      <w:r>
        <w:t>(</w:t>
      </w:r>
      <w:proofErr w:type="gramEnd"/>
      <w:r>
        <w:t>θ)</w:t>
      </w:r>
    </w:p>
    <w:p w:rsidR="00FA2387" w:rsidRDefault="00CE10B8" w:rsidP="00B70245">
      <w:pPr>
        <w:spacing w:after="200" w:line="276" w:lineRule="auto"/>
      </w:pPr>
      <w:r w:rsidRPr="00FA2387">
        <w:rPr>
          <w:position w:val="-10"/>
        </w:rPr>
        <w:object w:dxaOrig="1700" w:dyaOrig="320">
          <v:shape id="_x0000_i1028" type="#_x0000_t75" style="width:85.5pt;height:15.75pt" o:ole="">
            <v:imagedata r:id="rId12" o:title=""/>
          </v:shape>
          <o:OLEObject Type="Embed" ProgID="Equation.3" ShapeID="_x0000_i1028" DrawAspect="Content" ObjectID="_1350195319" r:id="rId13"/>
        </w:object>
      </w:r>
      <w:r w:rsidR="00FA2387">
        <w:tab/>
      </w:r>
      <w:r w:rsidR="00FA2387">
        <w:tab/>
      </w:r>
      <w:r w:rsidR="00FA2387">
        <w:tab/>
      </w:r>
      <w:r w:rsidR="00FA2387">
        <w:tab/>
      </w:r>
      <w:r w:rsidR="00FA2387">
        <w:tab/>
      </w:r>
      <w:r w:rsidR="00FA2387">
        <w:tab/>
      </w:r>
      <w:r w:rsidR="00FA2387">
        <w:tab/>
      </w:r>
      <w:r w:rsidR="00FA2387">
        <w:tab/>
      </w:r>
      <w:r w:rsidR="00FA2387">
        <w:tab/>
      </w:r>
      <w:r w:rsidR="00FA2387">
        <w:tab/>
        <w:t>(4)</w:t>
      </w:r>
    </w:p>
    <w:p w:rsidR="00FA2387" w:rsidRDefault="00CE10B8" w:rsidP="00B70245">
      <w:pPr>
        <w:spacing w:after="200" w:line="276" w:lineRule="auto"/>
      </w:pPr>
      <w:proofErr w:type="gramStart"/>
      <w:r>
        <w:t>w</w:t>
      </w:r>
      <w:r w:rsidR="00FA2387">
        <w:t>here</w:t>
      </w:r>
      <w:proofErr w:type="gramEnd"/>
      <w:r w:rsidR="00FA2387">
        <w:t xml:space="preserve"> a and b are small coefficient</w:t>
      </w:r>
      <w:r>
        <w:t xml:space="preserve"> and then compute an effective response function</w:t>
      </w:r>
      <w:r w:rsidR="003D3377">
        <w:t xml:space="preserve"> by normalizin</w:t>
      </w:r>
      <w:r w:rsidR="00191147">
        <w:t>g</w:t>
      </w:r>
    </w:p>
    <w:p w:rsidR="00CE10B8" w:rsidRDefault="00CE10B8" w:rsidP="00B70245">
      <w:pPr>
        <w:spacing w:after="200" w:line="276" w:lineRule="auto"/>
      </w:pPr>
      <w:r w:rsidRPr="00CE10B8">
        <w:rPr>
          <w:position w:val="-24"/>
        </w:rPr>
        <w:object w:dxaOrig="3440" w:dyaOrig="620">
          <v:shape id="_x0000_i1029" type="#_x0000_t75" style="width:171.75pt;height:31.5pt" o:ole="">
            <v:imagedata r:id="rId14" o:title=""/>
          </v:shape>
          <o:OLEObject Type="Embed" ProgID="Equation.3" ShapeID="_x0000_i1029" DrawAspect="Content" ObjectID="_1350195320" r:id="rId1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243C29" w:rsidRDefault="00CE10B8" w:rsidP="00B70245">
      <w:pPr>
        <w:spacing w:after="200" w:line="276" w:lineRule="auto"/>
      </w:pPr>
      <w:r>
        <w:lastRenderedPageBreak/>
        <w:t xml:space="preserve">In Fig. 1 we </w:t>
      </w:r>
      <w:r w:rsidR="00191147">
        <w:t xml:space="preserve">show the integrand in (3) using </w:t>
      </w:r>
      <w:proofErr w:type="gramStart"/>
      <w:r w:rsidRPr="00960243">
        <w:rPr>
          <w:i/>
        </w:rPr>
        <w:t>f</w:t>
      </w:r>
      <w:r>
        <w:t>(</w:t>
      </w:r>
      <w:proofErr w:type="gramEnd"/>
      <w:r>
        <w:t>θ)</w:t>
      </w:r>
      <w:r w:rsidR="00497A2F">
        <w:t xml:space="preserve"> from (4) with a=0.03 and b=0.003, which yields </w:t>
      </w:r>
      <w:r w:rsidR="00497A2F" w:rsidRPr="00497A2F">
        <w:rPr>
          <w:i/>
        </w:rPr>
        <w:t>f</w:t>
      </w:r>
      <w:r w:rsidR="00497A2F">
        <w:t>(45)=0.895.</w:t>
      </w:r>
      <w:r w:rsidR="00243C29">
        <w:t xml:space="preserve">  It is clear that the normalized line does not obey the ideal behavior but the overestimate for θ&lt;45 </w:t>
      </w:r>
      <w:r w:rsidR="00C87A74">
        <w:t>cancels the underestimate for θ&gt;</w:t>
      </w:r>
      <w:r w:rsidR="00243C29">
        <w:t>45.  For this specific case the integral using (4) is 0.4475 while the integral using the normalized form is 0.5000.</w:t>
      </w:r>
      <w:r w:rsidR="00B51899">
        <w:t xml:space="preserve">  Of course this cancelation only works for a linear angular dependence; if there is significant curvature then the</w:t>
      </w:r>
      <w:r w:rsidR="00EB2364">
        <w:t xml:space="preserve">re will be a second-order error.  In that case, accuracy may be improved by considering some non-linear behavior of </w:t>
      </w:r>
      <w:proofErr w:type="gramStart"/>
      <w:r w:rsidR="00EB2364" w:rsidRPr="00960243">
        <w:rPr>
          <w:i/>
        </w:rPr>
        <w:t>f</w:t>
      </w:r>
      <w:r w:rsidR="00EB2364">
        <w:t>(</w:t>
      </w:r>
      <w:proofErr w:type="gramEnd"/>
      <w:r w:rsidR="00EB2364">
        <w:t>θ).</w:t>
      </w:r>
      <w:r w:rsidR="00ED514A">
        <w:t xml:space="preserve">  Also note that the values obtained from the </w:t>
      </w:r>
      <w:proofErr w:type="spellStart"/>
      <w:r w:rsidR="00ED514A">
        <w:t>pyranometer</w:t>
      </w:r>
      <w:proofErr w:type="spellEnd"/>
      <w:r w:rsidR="00ED514A">
        <w:t xml:space="preserve"> will overestimate the flux under clear conditions when the sun is near zenith.</w:t>
      </w:r>
    </w:p>
    <w:p w:rsidR="00191147" w:rsidRPr="00191147" w:rsidRDefault="00191147" w:rsidP="00B70245">
      <w:pPr>
        <w:spacing w:after="200" w:line="276" w:lineRule="auto"/>
        <w:rPr>
          <w:b/>
        </w:rPr>
      </w:pPr>
      <w:r w:rsidRPr="00191147">
        <w:rPr>
          <w:b/>
        </w:rPr>
        <w:t>Rooftop Calibrations</w:t>
      </w:r>
    </w:p>
    <w:p w:rsidR="000F45BF" w:rsidRDefault="002B109A" w:rsidP="00B70245">
      <w:pPr>
        <w:spacing w:after="200" w:line="276" w:lineRule="auto"/>
      </w:pPr>
      <w:r>
        <w:tab/>
      </w:r>
      <w:r w:rsidR="00032061">
        <w:t xml:space="preserve">In the last 7 years we have conducted a series of radiometer </w:t>
      </w:r>
      <w:proofErr w:type="spellStart"/>
      <w:r w:rsidR="00032061">
        <w:t>intercomparison</w:t>
      </w:r>
      <w:proofErr w:type="spellEnd"/>
      <w:r w:rsidR="00032061">
        <w:t xml:space="preserve"> studies at sea plus two rooftop calibrations (see Table </w:t>
      </w:r>
      <w:r w:rsidR="000F45BF">
        <w:t>1</w:t>
      </w:r>
      <w:r w:rsidR="00124687">
        <w:t xml:space="preserve"> and Fig. 2</w:t>
      </w:r>
      <w:r w:rsidR="00032061">
        <w:t>).</w:t>
      </w:r>
      <w:r w:rsidR="000F45BF">
        <w:t xml:space="preserve">  In the terms </w:t>
      </w:r>
      <w:r w:rsidR="00403C55">
        <w:t xml:space="preserve">discussed above we write the calibration relationship as </w:t>
      </w:r>
    </w:p>
    <w:p w:rsidR="00191147" w:rsidRDefault="00DA4093" w:rsidP="00B70245">
      <w:pPr>
        <w:spacing w:after="200" w:line="276" w:lineRule="auto"/>
      </w:pPr>
      <w:r w:rsidRPr="000F45BF">
        <w:rPr>
          <w:position w:val="-30"/>
        </w:rPr>
        <w:object w:dxaOrig="1500" w:dyaOrig="680">
          <v:shape id="_x0000_i1030" type="#_x0000_t75" style="width:75pt;height:33.75pt" o:ole="">
            <v:imagedata r:id="rId16" o:title=""/>
          </v:shape>
          <o:OLEObject Type="Embed" ProgID="Equation.3" ShapeID="_x0000_i1030" DrawAspect="Content" ObjectID="_1350195321" r:id="rId17"/>
        </w:object>
      </w:r>
      <w:r w:rsidR="00032061">
        <w:t xml:space="preserve"> </w:t>
      </w:r>
      <w:r w:rsidR="004C7B66">
        <w:tab/>
      </w:r>
      <w:r w:rsidR="004C7B66">
        <w:tab/>
      </w:r>
      <w:r w:rsidR="004C7B66">
        <w:tab/>
      </w:r>
      <w:r w:rsidR="004C7B66">
        <w:tab/>
      </w:r>
      <w:r w:rsidR="004C7B66">
        <w:tab/>
      </w:r>
      <w:r w:rsidR="004C7B66">
        <w:tab/>
      </w:r>
      <w:r w:rsidR="004C7B66">
        <w:tab/>
      </w:r>
      <w:r w:rsidR="004C7B66">
        <w:tab/>
      </w:r>
      <w:r w:rsidR="004C7B66">
        <w:tab/>
      </w:r>
      <w:r w:rsidR="004C7B66">
        <w:tab/>
        <w:t>(6)</w:t>
      </w:r>
    </w:p>
    <w:p w:rsidR="004C7B66" w:rsidRDefault="00280A06" w:rsidP="00B70245">
      <w:pPr>
        <w:spacing w:after="200" w:line="276" w:lineRule="auto"/>
      </w:pPr>
      <w:proofErr w:type="gramStart"/>
      <w:r>
        <w:t>w</w:t>
      </w:r>
      <w:r w:rsidR="004C7B66">
        <w:t>here</w:t>
      </w:r>
      <w:proofErr w:type="gramEnd"/>
      <w:r w:rsidR="004C7B66">
        <w:t xml:space="preserve"> </w:t>
      </w:r>
      <w:proofErr w:type="spellStart"/>
      <w:r w:rsidR="004C7B66" w:rsidRPr="00212230">
        <w:rPr>
          <w:i/>
        </w:rPr>
        <w:t>R</w:t>
      </w:r>
      <w:r w:rsidR="004C7B66" w:rsidRPr="00212230">
        <w:rPr>
          <w:i/>
          <w:vertAlign w:val="subscript"/>
        </w:rPr>
        <w:t>st</w:t>
      </w:r>
      <w:proofErr w:type="spellEnd"/>
      <w:r w:rsidR="004C7B66">
        <w:t xml:space="preserve"> represents a stan</w:t>
      </w:r>
      <w:r w:rsidR="00212230">
        <w:t xml:space="preserve">dard measurement of total solar flux, ΔV the thermopile output voltage of a specific </w:t>
      </w:r>
      <w:proofErr w:type="spellStart"/>
      <w:r w:rsidR="00212230">
        <w:t>pyranometer</w:t>
      </w:r>
      <w:proofErr w:type="spellEnd"/>
      <w:r w:rsidR="00212230">
        <w:t xml:space="preserve">, and </w:t>
      </w:r>
      <w:proofErr w:type="spellStart"/>
      <w:r w:rsidR="00212230">
        <w:t>α</w:t>
      </w:r>
      <w:r w:rsidR="00212230" w:rsidRPr="00212230">
        <w:rPr>
          <w:vertAlign w:val="subscript"/>
        </w:rPr>
        <w:t>cal</w:t>
      </w:r>
      <w:proofErr w:type="spellEnd"/>
      <w:r w:rsidR="00212230">
        <w:t xml:space="preserve"> the linear calibration coefficient.</w:t>
      </w:r>
      <w:r w:rsidR="00A26395">
        <w:t xml:space="preserve">  Methods to determine </w:t>
      </w:r>
      <w:proofErr w:type="spellStart"/>
      <w:r w:rsidR="00A26395">
        <w:t>α</w:t>
      </w:r>
      <w:r w:rsidR="00A26395" w:rsidRPr="00212230">
        <w:rPr>
          <w:vertAlign w:val="subscript"/>
        </w:rPr>
        <w:t>cal</w:t>
      </w:r>
      <w:proofErr w:type="spellEnd"/>
      <w:r w:rsidR="00A26395">
        <w:t xml:space="preserve"> differ.  For example, </w:t>
      </w:r>
      <w:proofErr w:type="spellStart"/>
      <w:r w:rsidR="00A26395">
        <w:t>Eppley</w:t>
      </w:r>
      <w:proofErr w:type="spellEnd"/>
      <w:r w:rsidR="00A26395">
        <w:t xml:space="preserve"> Laboratories use an integrating light sphere for </w:t>
      </w:r>
      <w:proofErr w:type="spellStart"/>
      <w:r w:rsidR="00A26395" w:rsidRPr="00E862F6">
        <w:rPr>
          <w:i/>
        </w:rPr>
        <w:t>R</w:t>
      </w:r>
      <w:r w:rsidR="00A26395" w:rsidRPr="00E862F6">
        <w:rPr>
          <w:i/>
          <w:vertAlign w:val="subscript"/>
        </w:rPr>
        <w:t>st</w:t>
      </w:r>
      <w:proofErr w:type="spellEnd"/>
      <w:r w:rsidR="00A26395">
        <w:t>; the BSRN program uses rooftop measurements</w:t>
      </w:r>
      <w:r w:rsidR="00A26395">
        <w:rPr>
          <w:vertAlign w:val="subscript"/>
        </w:rPr>
        <w:t xml:space="preserve"> </w:t>
      </w:r>
      <w:r w:rsidR="00A26395">
        <w:t xml:space="preserve">with a direct/diffuse standard and set </w:t>
      </w:r>
      <w:proofErr w:type="gramStart"/>
      <w:r w:rsidR="00A26395" w:rsidRPr="00A26395">
        <w:rPr>
          <w:i/>
        </w:rPr>
        <w:t>f</w:t>
      </w:r>
      <w:r w:rsidR="00A26395">
        <w:t>(</w:t>
      </w:r>
      <w:proofErr w:type="gramEnd"/>
      <w:r w:rsidR="00A26395">
        <w:t>45)=1.0;</w:t>
      </w:r>
      <w:r w:rsidR="00E862F6">
        <w:t xml:space="preserve">  WHOI uses a calibrated PSP as a standard and does a linear regression of the instrument to the standard flux.</w:t>
      </w:r>
    </w:p>
    <w:p w:rsidR="00124687" w:rsidRDefault="002E7EBE" w:rsidP="00B70245">
      <w:pPr>
        <w:spacing w:after="200" w:line="276" w:lineRule="auto"/>
      </w:pPr>
      <w:r>
        <w:tab/>
        <w:t xml:space="preserve">A sample result from the rooftop calibration in Boulder is shown in Fig. 3.  In this case the NOAA GMD standard consists of a </w:t>
      </w:r>
      <w:proofErr w:type="spellStart"/>
      <w:r>
        <w:t>suntracking</w:t>
      </w:r>
      <w:proofErr w:type="spellEnd"/>
      <w:r>
        <w:t xml:space="preserve"> </w:t>
      </w:r>
      <w:proofErr w:type="spellStart"/>
      <w:r>
        <w:t>pyroheliomete</w:t>
      </w:r>
      <w:proofErr w:type="spellEnd"/>
      <w:r>
        <w:t xml:space="preserve"> for the direct flux and a shaded </w:t>
      </w:r>
      <w:proofErr w:type="spellStart"/>
      <w:r>
        <w:t>Eppley</w:t>
      </w:r>
      <w:proofErr w:type="spellEnd"/>
      <w:r>
        <w:t xml:space="preserve"> model 848 (Black and White) </w:t>
      </w:r>
      <w:proofErr w:type="spellStart"/>
      <w:r>
        <w:t>pyranome</w:t>
      </w:r>
      <w:r w:rsidR="00326A5A">
        <w:t>ter</w:t>
      </w:r>
      <w:proofErr w:type="spellEnd"/>
      <w:r w:rsidR="00326A5A">
        <w:t xml:space="preserve"> for the diffuse (</w:t>
      </w:r>
      <w:proofErr w:type="gramStart"/>
      <w:r w:rsidR="00326A5A">
        <w:t>Dutton ..ref</w:t>
      </w:r>
      <w:proofErr w:type="gramEnd"/>
      <w:r>
        <w:t xml:space="preserve">).  Results for an </w:t>
      </w:r>
      <w:proofErr w:type="spellStart"/>
      <w:r>
        <w:t>Eppley</w:t>
      </w:r>
      <w:proofErr w:type="spellEnd"/>
      <w:r>
        <w:t xml:space="preserve"> PSP and a </w:t>
      </w:r>
      <w:proofErr w:type="spellStart"/>
      <w:r>
        <w:t>Kipp</w:t>
      </w:r>
      <w:proofErr w:type="spellEnd"/>
      <w:r>
        <w:t xml:space="preserve"> and </w:t>
      </w:r>
      <w:proofErr w:type="spellStart"/>
      <w:r>
        <w:t>Zonen</w:t>
      </w:r>
      <w:proofErr w:type="spellEnd"/>
      <w:r>
        <w:t xml:space="preserve"> CM22 are shown.  Individual points on the graphs are 1-min averages.  A clear-sky model (</w:t>
      </w:r>
      <w:proofErr w:type="spellStart"/>
      <w:r>
        <w:t>Fairall</w:t>
      </w:r>
      <w:proofErr w:type="spellEnd"/>
      <w:r>
        <w:t xml:space="preserve"> et al. 2008) is used to select values in specified transmission coefficient (</w:t>
      </w:r>
      <w:r w:rsidRPr="002E7EBE">
        <w:rPr>
          <w:i/>
        </w:rPr>
        <w:t>T</w:t>
      </w:r>
      <w:r>
        <w:t>=</w:t>
      </w:r>
      <w:r w:rsidRPr="002E7EBE">
        <w:rPr>
          <w:i/>
        </w:rPr>
        <w:t>R</w:t>
      </w:r>
      <w:r w:rsidRPr="002E7EBE">
        <w:rPr>
          <w:i/>
          <w:vertAlign w:val="subscript"/>
        </w:rPr>
        <w:t>s</w:t>
      </w:r>
      <w:r>
        <w:t>/</w:t>
      </w:r>
      <w:proofErr w:type="spellStart"/>
      <w:r w:rsidRPr="002E7EBE">
        <w:rPr>
          <w:i/>
        </w:rPr>
        <w:t>R</w:t>
      </w:r>
      <w:r w:rsidRPr="002E7EBE">
        <w:rPr>
          <w:i/>
          <w:vertAlign w:val="subscript"/>
        </w:rPr>
        <w:t>slcear</w:t>
      </w:r>
      <w:proofErr w:type="spellEnd"/>
      <w:r w:rsidR="004A5ED2">
        <w:t>); in this</w:t>
      </w:r>
      <w:r>
        <w:t xml:space="preserve"> example we restrict the example to roughly clear skies (0.9&lt;</w:t>
      </w:r>
      <w:r w:rsidRPr="004A5ED2">
        <w:rPr>
          <w:i/>
        </w:rPr>
        <w:t>T</w:t>
      </w:r>
      <w:r>
        <w:t>&lt;1.1).</w:t>
      </w:r>
      <w:r w:rsidR="004A5ED2">
        <w:t xml:space="preserve">  From Fig. 3 we see a significant departure from the ideal ‘cosine response’ with the PSP but the CM22 is essentially ideal (i.e., </w:t>
      </w:r>
      <w:proofErr w:type="gramStart"/>
      <w:r w:rsidR="004A5ED2" w:rsidRPr="00960243">
        <w:rPr>
          <w:i/>
        </w:rPr>
        <w:t>f</w:t>
      </w:r>
      <w:r w:rsidR="004A5ED2">
        <w:t>(</w:t>
      </w:r>
      <w:proofErr w:type="gramEnd"/>
      <w:r w:rsidR="004A5ED2">
        <w:t xml:space="preserve">θ) is a constant).  The lines on the graphs are fits for </w:t>
      </w:r>
      <w:proofErr w:type="gramStart"/>
      <w:r w:rsidR="004A5ED2" w:rsidRPr="00960243">
        <w:rPr>
          <w:i/>
        </w:rPr>
        <w:t>f</w:t>
      </w:r>
      <w:r w:rsidR="004A5ED2">
        <w:t>(</w:t>
      </w:r>
      <w:proofErr w:type="gramEnd"/>
      <w:r w:rsidR="004A5ED2">
        <w:t>θ).  A simple way to capture the curvature is with a second-order polynomial regression.  However, we found more consistent results with a least-squares fit to a form</w:t>
      </w:r>
    </w:p>
    <w:p w:rsidR="004A5ED2" w:rsidRPr="00A26395" w:rsidRDefault="001A661F" w:rsidP="00B70245">
      <w:pPr>
        <w:spacing w:after="200" w:line="276" w:lineRule="auto"/>
      </w:pPr>
      <w:r w:rsidRPr="004A5ED2">
        <w:rPr>
          <w:position w:val="-12"/>
        </w:rPr>
        <w:object w:dxaOrig="3000" w:dyaOrig="380">
          <v:shape id="_x0000_i1031" type="#_x0000_t75" style="width:150pt;height:18.75pt" o:ole="">
            <v:imagedata r:id="rId18" o:title=""/>
          </v:shape>
          <o:OLEObject Type="Embed" ProgID="Equation.3" ShapeID="_x0000_i1031" DrawAspect="Content" ObjectID="_1350195322" r:id="rId19"/>
        </w:object>
      </w:r>
      <w:r w:rsidR="004A5ED2">
        <w:tab/>
      </w:r>
      <w:r w:rsidR="004A5ED2">
        <w:tab/>
      </w:r>
      <w:r w:rsidR="004A5ED2">
        <w:tab/>
      </w:r>
      <w:r w:rsidR="004A5ED2">
        <w:tab/>
      </w:r>
      <w:r w:rsidR="004A5ED2">
        <w:tab/>
      </w:r>
      <w:r w:rsidR="004A5ED2">
        <w:tab/>
      </w:r>
      <w:r w:rsidR="004A5ED2">
        <w:tab/>
      </w:r>
      <w:r w:rsidR="004A5ED2">
        <w:tab/>
        <w:t>(7)</w:t>
      </w:r>
    </w:p>
    <w:p w:rsidR="00191147" w:rsidRDefault="00E40B3B" w:rsidP="00B70245">
      <w:pPr>
        <w:spacing w:after="200" w:line="276" w:lineRule="auto"/>
      </w:pPr>
      <w:proofErr w:type="gramStart"/>
      <w:r>
        <w:t>which</w:t>
      </w:r>
      <w:proofErr w:type="gramEnd"/>
      <w:r>
        <w:t>, unlike a simple polynomial in θ, always produces a maximum at θ=0.  The fits shown in Fig. 3 use θ</w:t>
      </w:r>
      <w:r w:rsidRPr="00E40B3B">
        <w:rPr>
          <w:vertAlign w:val="subscript"/>
        </w:rPr>
        <w:t>0</w:t>
      </w:r>
      <w:r>
        <w:t>=</w:t>
      </w:r>
      <w:r w:rsidR="008211F8">
        <w:t>5</w:t>
      </w:r>
      <w:r>
        <w:t>0</w:t>
      </w:r>
      <w:r w:rsidR="008211F8">
        <w:t xml:space="preserve"> Deg</w:t>
      </w:r>
      <w:r>
        <w:t xml:space="preserve"> (</w:t>
      </w:r>
      <w:r w:rsidR="00326A5A">
        <w:t xml:space="preserve">we have not explored optimizing this value).  We can add an additional constraint by normalizing so that </w:t>
      </w:r>
      <w:proofErr w:type="gramStart"/>
      <w:r w:rsidR="00326A5A" w:rsidRPr="00A26395">
        <w:rPr>
          <w:i/>
        </w:rPr>
        <w:t>f</w:t>
      </w:r>
      <w:r w:rsidR="00326A5A">
        <w:t>(</w:t>
      </w:r>
      <w:proofErr w:type="gramEnd"/>
      <w:r w:rsidR="00326A5A">
        <w:t xml:space="preserve">45)=1.0 </w:t>
      </w:r>
    </w:p>
    <w:p w:rsidR="00191147" w:rsidRDefault="001A661F" w:rsidP="00B70245">
      <w:pPr>
        <w:spacing w:after="200" w:line="276" w:lineRule="auto"/>
      </w:pPr>
      <w:r w:rsidRPr="004A5ED2">
        <w:rPr>
          <w:position w:val="-12"/>
        </w:rPr>
        <w:object w:dxaOrig="2900" w:dyaOrig="380">
          <v:shape id="_x0000_i1032" type="#_x0000_t75" style="width:144.75pt;height:18.75pt" o:ole="">
            <v:imagedata r:id="rId20" o:title=""/>
          </v:shape>
          <o:OLEObject Type="Embed" ProgID="Equation.3" ShapeID="_x0000_i1032" DrawAspect="Content" ObjectID="_1350195323" r:id="rId2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(8)</w:t>
      </w:r>
    </w:p>
    <w:p w:rsidR="001A661F" w:rsidRDefault="001A661F" w:rsidP="00B70245">
      <w:pPr>
        <w:spacing w:after="200" w:line="276" w:lineRule="auto"/>
      </w:pPr>
      <w:r>
        <w:t>Or</w:t>
      </w:r>
    </w:p>
    <w:p w:rsidR="001A661F" w:rsidRDefault="008211F8" w:rsidP="00B70245">
      <w:pPr>
        <w:spacing w:after="200" w:line="276" w:lineRule="auto"/>
      </w:pPr>
      <w:r w:rsidRPr="001A661F">
        <w:rPr>
          <w:position w:val="-30"/>
        </w:rPr>
        <w:object w:dxaOrig="3760" w:dyaOrig="720">
          <v:shape id="_x0000_i1033" type="#_x0000_t75" style="width:188.25pt;height:36pt" o:ole="">
            <v:imagedata r:id="rId22" o:title=""/>
          </v:shape>
          <o:OLEObject Type="Embed" ProgID="Equation.3" ShapeID="_x0000_i1033" DrawAspect="Content" ObjectID="_1350195324" r:id="rId23"/>
        </w:object>
      </w:r>
      <w:r w:rsidR="001A661F">
        <w:tab/>
      </w:r>
      <w:r w:rsidR="001A661F">
        <w:tab/>
      </w:r>
      <w:r w:rsidR="001A661F">
        <w:tab/>
      </w:r>
      <w:r w:rsidR="001A661F">
        <w:tab/>
      </w:r>
      <w:r w:rsidR="001A661F">
        <w:tab/>
      </w:r>
      <w:r w:rsidR="001A661F">
        <w:tab/>
      </w:r>
      <w:r w:rsidR="001A661F">
        <w:tab/>
        <w:t>(9)</w:t>
      </w:r>
    </w:p>
    <w:p w:rsidR="00DA3A29" w:rsidRDefault="008211F8" w:rsidP="00B70245">
      <w:pPr>
        <w:spacing w:after="200" w:line="276" w:lineRule="auto"/>
      </w:pPr>
      <w:r>
        <w:t xml:space="preserve">In this context </w:t>
      </w:r>
      <w:proofErr w:type="gramStart"/>
      <w:r w:rsidRPr="00BA6F33">
        <w:rPr>
          <w:i/>
        </w:rPr>
        <w:t>a</w:t>
      </w:r>
      <w:r>
        <w:t xml:space="preserve"> is</w:t>
      </w:r>
      <w:proofErr w:type="gramEnd"/>
      <w:r>
        <w:t xml:space="preserve"> the ratio of the sensitivity at zenith to that at 45 Deg.</w:t>
      </w:r>
      <w:r w:rsidR="00BA6F33">
        <w:t xml:space="preserve">  </w:t>
      </w:r>
    </w:p>
    <w:p w:rsidR="00975B23" w:rsidRDefault="00BA6F33" w:rsidP="00975B23">
      <w:pPr>
        <w:spacing w:after="200" w:line="276" w:lineRule="auto"/>
        <w:ind w:firstLine="720"/>
      </w:pPr>
      <w:r>
        <w:t xml:space="preserve">Given a specified value for </w:t>
      </w:r>
      <w:r w:rsidRPr="00BA6F33">
        <w:t>θ</w:t>
      </w:r>
      <w:r w:rsidRPr="00BA6F33">
        <w:rPr>
          <w:vertAlign w:val="subscript"/>
        </w:rPr>
        <w:t>0</w:t>
      </w:r>
      <w:r>
        <w:t>, t</w:t>
      </w:r>
      <w:r w:rsidRPr="00BA6F33">
        <w:t>he</w:t>
      </w:r>
      <w:r>
        <w:t xml:space="preserve"> coefficients </w:t>
      </w:r>
      <w:proofErr w:type="spellStart"/>
      <w:r>
        <w:t>α</w:t>
      </w:r>
      <w:r w:rsidRPr="00212230">
        <w:rPr>
          <w:vertAlign w:val="subscript"/>
        </w:rPr>
        <w:t>cal</w:t>
      </w:r>
      <w:proofErr w:type="spellEnd"/>
      <w:r>
        <w:t xml:space="preserve"> and </w:t>
      </w:r>
      <w:proofErr w:type="gramStart"/>
      <w:r w:rsidRPr="00BA6F33">
        <w:rPr>
          <w:i/>
        </w:rPr>
        <w:t>a</w:t>
      </w:r>
      <w:r>
        <w:t xml:space="preserve"> characterize</w:t>
      </w:r>
      <w:proofErr w:type="gramEnd"/>
      <w:r>
        <w:t xml:space="preserve"> the sensitivity of a given </w:t>
      </w:r>
      <w:proofErr w:type="spellStart"/>
      <w:r>
        <w:t>pyranometer</w:t>
      </w:r>
      <w:proofErr w:type="spellEnd"/>
      <w:r>
        <w:t xml:space="preserve">. </w:t>
      </w:r>
      <w:r w:rsidR="005E2DF7">
        <w:t xml:space="preserve"> </w:t>
      </w:r>
      <w:r w:rsidR="00DA3A29">
        <w:t xml:space="preserve">However, this concept is well defined when applying (2) with separate measurements of the direct and diffuse components.  When clouds are present the balance of direct and diffuse components changes considerably; thus, the </w:t>
      </w:r>
      <w:r w:rsidR="00C90A96">
        <w:t xml:space="preserve">true </w:t>
      </w:r>
      <w:r w:rsidR="00DA3A29">
        <w:t xml:space="preserve">cosine response of a radiometer is only straightforwardly determined when direct and diffuse fluxes are measured separately (or, the portioning can be determined).  A simple solution to this problem is to allow </w:t>
      </w:r>
      <w:proofErr w:type="gramStart"/>
      <w:r w:rsidR="00DA3A29">
        <w:t xml:space="preserve">the </w:t>
      </w:r>
      <w:r w:rsidR="00DA3A29" w:rsidRPr="00C90A96">
        <w:rPr>
          <w:i/>
        </w:rPr>
        <w:t>a</w:t>
      </w:r>
      <w:proofErr w:type="gramEnd"/>
      <w:r w:rsidR="00DA3A29">
        <w:t xml:space="preserve"> coefficient to be a function of </w:t>
      </w:r>
      <w:r w:rsidR="00DA3A29" w:rsidRPr="00C90A96">
        <w:rPr>
          <w:i/>
        </w:rPr>
        <w:t>T</w:t>
      </w:r>
      <w:r w:rsidR="00C90A96">
        <w:t xml:space="preserve">.  This requires additional information (the specification of the clear sky flux and solar zenith angle via a simple model).  </w:t>
      </w:r>
      <w:r w:rsidR="00975B23">
        <w:t xml:space="preserve">Fig. 4 shows clear sky fits for 7 </w:t>
      </w:r>
      <w:proofErr w:type="spellStart"/>
      <w:r w:rsidR="00975B23">
        <w:t>pyranometers</w:t>
      </w:r>
      <w:proofErr w:type="spellEnd"/>
      <w:r w:rsidR="00975B23">
        <w:t xml:space="preserve">: two are from Fig. 3 and the others are from the WHOI rooftop observations.  In the WHOI case, we have used a CM22 as the standard since the Boulder observations suggest it is a reasonable transfer standard as far as cosine response is concerned.  The four PSP’s are clearly more similar too each other than to the other units.  </w:t>
      </w:r>
      <w:r w:rsidR="000F4961">
        <w:t>In Fig. 5 we show fits from one of the PSP’</w:t>
      </w:r>
      <w:r w:rsidR="0011190F">
        <w:t>s for different ranges</w:t>
      </w:r>
      <w:r w:rsidR="000F4961">
        <w:t xml:space="preserve"> of solar transmission coefficient.  The non-cosine behavior maximizes for</w:t>
      </w:r>
      <w:r w:rsidR="000F4961" w:rsidRPr="000F4961">
        <w:rPr>
          <w:i/>
        </w:rPr>
        <w:t xml:space="preserve"> T</w:t>
      </w:r>
      <w:r w:rsidR="008337A9">
        <w:t xml:space="preserve"> on the order of 0.65 (no idea why).</w:t>
      </w:r>
    </w:p>
    <w:p w:rsidR="001A661F" w:rsidRPr="00BA6F33" w:rsidRDefault="000F4961" w:rsidP="00DA3A29">
      <w:pPr>
        <w:spacing w:after="200" w:line="276" w:lineRule="auto"/>
        <w:ind w:firstLine="720"/>
      </w:pPr>
      <w:r>
        <w:t xml:space="preserve">Because the four </w:t>
      </w:r>
      <w:proofErr w:type="spellStart"/>
      <w:r>
        <w:t>Eppley</w:t>
      </w:r>
      <w:proofErr w:type="spellEnd"/>
      <w:r>
        <w:t xml:space="preserve"> PSP’s in Fig. 4</w:t>
      </w:r>
      <w:r w:rsidR="0011190F">
        <w:t xml:space="preserve"> are so similar we feel emboldened to average the fits to create a generic ‘</w:t>
      </w:r>
      <w:proofErr w:type="spellStart"/>
      <w:r w:rsidR="0011190F">
        <w:t>Eppley</w:t>
      </w:r>
      <w:proofErr w:type="spellEnd"/>
      <w:r w:rsidR="0011190F">
        <w:t xml:space="preserve"> PSP’ effective cosine correction as a function of mean transmission coefficient.  Recall this is not a true cosine response associated with the direct solar beam but an effective response for the global solar flux.  </w:t>
      </w:r>
      <w:r w:rsidR="00870CF1">
        <w:t>The results are shown in Fig. 6.</w:t>
      </w:r>
    </w:p>
    <w:p w:rsidR="001A661F" w:rsidRDefault="001A661F" w:rsidP="00B70245">
      <w:pPr>
        <w:spacing w:after="200" w:line="276" w:lineRule="auto"/>
      </w:pPr>
    </w:p>
    <w:p w:rsidR="001A661F" w:rsidRDefault="001A661F">
      <w:pPr>
        <w:spacing w:after="200" w:line="276" w:lineRule="auto"/>
      </w:pPr>
    </w:p>
    <w:p w:rsidR="00191147" w:rsidRDefault="004A5ED2">
      <w:pPr>
        <w:spacing w:after="200" w:line="276" w:lineRule="auto"/>
      </w:pPr>
      <w:r>
        <w:t xml:space="preserve"> </w:t>
      </w:r>
    </w:p>
    <w:p w:rsidR="00AB2F81" w:rsidRDefault="00AB2F81">
      <w:r>
        <w:rPr>
          <w:noProof/>
        </w:rPr>
        <w:lastRenderedPageBreak/>
        <w:drawing>
          <wp:inline distT="0" distB="0" distL="0" distR="0">
            <wp:extent cx="5952067" cy="4464050"/>
            <wp:effectExtent l="19050" t="0" r="0" b="0"/>
            <wp:docPr id="1" name="Picture 0" descr="zenith_diff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ith_diffuse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582" cy="446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8B8">
        <w:t xml:space="preserve"> </w:t>
      </w:r>
    </w:p>
    <w:p w:rsidR="00AB2F81" w:rsidRDefault="00AB2F81">
      <w:proofErr w:type="gramStart"/>
      <w:r>
        <w:t>Figure 1.</w:t>
      </w:r>
      <w:proofErr w:type="gramEnd"/>
      <w:r>
        <w:t xml:space="preserve">  Angular factor in the inte</w:t>
      </w:r>
      <w:r w:rsidR="007518B8">
        <w:t>g</w:t>
      </w:r>
      <w:r>
        <w:t>ral of (2)</w:t>
      </w:r>
      <w:r w:rsidR="007518B8">
        <w:t xml:space="preserve"> using </w:t>
      </w:r>
      <w:r w:rsidR="007518B8" w:rsidRPr="007518B8">
        <w:rPr>
          <w:i/>
        </w:rPr>
        <w:t>f</w:t>
      </w:r>
      <w:r w:rsidR="007518B8">
        <w:t>=1.0 - solid</w:t>
      </w:r>
      <w:r w:rsidR="003D3377">
        <w:t xml:space="preserve"> blue line</w:t>
      </w:r>
      <w:r w:rsidR="007518B8">
        <w:t xml:space="preserve">, </w:t>
      </w:r>
      <w:r w:rsidR="007518B8" w:rsidRPr="007518B8">
        <w:rPr>
          <w:i/>
        </w:rPr>
        <w:t>f</w:t>
      </w:r>
      <w:r w:rsidR="007518B8">
        <w:t xml:space="preserve"> from (4) </w:t>
      </w:r>
      <w:proofErr w:type="gramStart"/>
      <w:r w:rsidR="007518B8">
        <w:t>-  dotted</w:t>
      </w:r>
      <w:proofErr w:type="gramEnd"/>
      <w:r w:rsidR="007518B8">
        <w:t xml:space="preserve"> line, and </w:t>
      </w:r>
      <w:r w:rsidR="007518B8" w:rsidRPr="007518B8">
        <w:rPr>
          <w:i/>
        </w:rPr>
        <w:t>f</w:t>
      </w:r>
      <w:r w:rsidR="007518B8">
        <w:t xml:space="preserve"> normalized to 45 deg – dashed red line. </w:t>
      </w:r>
    </w:p>
    <w:p w:rsidR="00B61000" w:rsidRDefault="00B61000"/>
    <w:p w:rsidR="0071154B" w:rsidRDefault="0071154B">
      <w:pPr>
        <w:spacing w:after="200" w:line="276" w:lineRule="auto"/>
      </w:pPr>
      <w:r>
        <w:br w:type="page"/>
      </w:r>
    </w:p>
    <w:p w:rsidR="0071154B" w:rsidRDefault="0071154B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>
            <wp:extent cx="4521200" cy="3390900"/>
            <wp:effectExtent l="19050" t="0" r="0" b="0"/>
            <wp:docPr id="6" name="Picture 5" descr="radca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cal4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143" cy="339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67" w:rsidRDefault="008C4767">
      <w:pPr>
        <w:spacing w:after="200" w:line="276" w:lineRule="auto"/>
      </w:pPr>
      <w:r>
        <w:rPr>
          <w:noProof/>
        </w:rPr>
        <w:drawing>
          <wp:inline distT="0" distB="0" distL="0" distR="0">
            <wp:extent cx="4567767" cy="3425825"/>
            <wp:effectExtent l="19050" t="0" r="4233" b="0"/>
            <wp:docPr id="8" name="Picture 7" descr="P104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174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796" cy="342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54B" w:rsidRDefault="0071154B">
      <w:pPr>
        <w:spacing w:after="200" w:line="276" w:lineRule="auto"/>
      </w:pPr>
      <w:proofErr w:type="gramStart"/>
      <w:r>
        <w:t>Figure 2.</w:t>
      </w:r>
      <w:proofErr w:type="gramEnd"/>
      <w:r>
        <w:t xml:space="preserve">  </w:t>
      </w:r>
      <w:r w:rsidR="008C4767">
        <w:t xml:space="preserve">Photographs from recent rooftop calibration at </w:t>
      </w:r>
      <w:r>
        <w:t>NOAA GMD rooftop radiometer calibration site at Boulder, CO</w:t>
      </w:r>
      <w:r w:rsidR="008C4767">
        <w:t xml:space="preserve"> (upper panel) and seagoing </w:t>
      </w:r>
      <w:proofErr w:type="spellStart"/>
      <w:r w:rsidR="008C4767">
        <w:t>intercomparison</w:t>
      </w:r>
      <w:proofErr w:type="spellEnd"/>
      <w:r w:rsidR="008C4767">
        <w:t xml:space="preserve"> on NOAA ship Ronald H. Brown (lower panel)</w:t>
      </w:r>
      <w:r>
        <w:t>.</w:t>
      </w:r>
      <w:r w:rsidR="00B61000">
        <w:br w:type="page"/>
      </w:r>
    </w:p>
    <w:p w:rsidR="00B61000" w:rsidRDefault="00B61000">
      <w:r>
        <w:rPr>
          <w:noProof/>
        </w:rPr>
        <w:lastRenderedPageBreak/>
        <w:drawing>
          <wp:inline distT="0" distB="0" distL="0" distR="0">
            <wp:extent cx="4773083" cy="3579812"/>
            <wp:effectExtent l="19050" t="0" r="8467" b="0"/>
            <wp:docPr id="2" name="Picture 1" descr="dutton_KZ_zenith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tton_KZ_zenithCalE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083" cy="357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000" w:rsidRDefault="00B61000">
      <w:r>
        <w:rPr>
          <w:noProof/>
        </w:rPr>
        <w:drawing>
          <wp:inline distT="0" distB="0" distL="0" distR="0">
            <wp:extent cx="4786489" cy="3589867"/>
            <wp:effectExtent l="19050" t="0" r="0" b="0"/>
            <wp:docPr id="3" name="Picture 2" descr="dutton_E2_zenith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tton_E2_zenithCalE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489" cy="358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35B">
        <w:t xml:space="preserve"> </w:t>
      </w:r>
    </w:p>
    <w:p w:rsidR="00B61000" w:rsidRDefault="002233B3">
      <w:proofErr w:type="gramStart"/>
      <w:r>
        <w:t>Figure 3</w:t>
      </w:r>
      <w:r w:rsidR="0011153E">
        <w:t>.</w:t>
      </w:r>
      <w:proofErr w:type="gramEnd"/>
      <w:r w:rsidR="0011153E">
        <w:t xml:space="preserve">  Sample response functions for two </w:t>
      </w:r>
      <w:proofErr w:type="spellStart"/>
      <w:r w:rsidR="0011153E">
        <w:t>pyranometers</w:t>
      </w:r>
      <w:proofErr w:type="spellEnd"/>
      <w:r w:rsidR="0011153E">
        <w:t xml:space="preserve"> (upper panel – </w:t>
      </w:r>
      <w:proofErr w:type="spellStart"/>
      <w:r w:rsidR="0011153E">
        <w:t>Kipp</w:t>
      </w:r>
      <w:proofErr w:type="spellEnd"/>
      <w:r w:rsidR="0011153E">
        <w:t xml:space="preserve"> </w:t>
      </w:r>
      <w:r w:rsidR="0088605B">
        <w:t xml:space="preserve">and </w:t>
      </w:r>
      <w:proofErr w:type="spellStart"/>
      <w:r w:rsidR="0088605B">
        <w:t>Zonen</w:t>
      </w:r>
      <w:proofErr w:type="spellEnd"/>
      <w:r w:rsidR="0088605B">
        <w:t>;</w:t>
      </w:r>
      <w:r w:rsidR="00E80A23">
        <w:t xml:space="preserve"> </w:t>
      </w:r>
      <w:r w:rsidR="0011153E">
        <w:t>lower panel</w:t>
      </w:r>
      <w:r w:rsidR="0088605B">
        <w:t xml:space="preserve"> -</w:t>
      </w:r>
      <w:r w:rsidR="0011153E">
        <w:t xml:space="preserve"> </w:t>
      </w:r>
      <w:proofErr w:type="spellStart"/>
      <w:r w:rsidR="0011153E">
        <w:t>Eppley</w:t>
      </w:r>
      <w:proofErr w:type="spellEnd"/>
      <w:r w:rsidR="0011153E">
        <w:t xml:space="preserve"> PSP) from 2008 Boulder rooftop calibration.  </w:t>
      </w:r>
      <w:r w:rsidR="007B535B">
        <w:t xml:space="preserve">These points are restricted to transmission </w:t>
      </w:r>
      <w:r w:rsidR="00BD0531">
        <w:t>coefficients between 0.9 and 1.1</w:t>
      </w:r>
      <w:r w:rsidR="007B535B">
        <w:t xml:space="preserve"> (essentially clear skies).  </w:t>
      </w:r>
      <w:r w:rsidR="0011153E">
        <w:t>The calibration standard is the NOAA GMD global flux (sum of direct and diffuse components).</w:t>
      </w:r>
      <w:r w:rsidR="00E80A23">
        <w:t xml:space="preserve">  The line is the exponential fit of the output voltage to standard flux normalized by the value at zenith angle of 45 deg.</w:t>
      </w:r>
    </w:p>
    <w:p w:rsidR="00B61000" w:rsidRDefault="00B61000">
      <w:pPr>
        <w:spacing w:after="200" w:line="276" w:lineRule="auto"/>
      </w:pPr>
    </w:p>
    <w:p w:rsidR="00B61000" w:rsidRDefault="00B61000">
      <w:r>
        <w:rPr>
          <w:noProof/>
        </w:rPr>
        <w:drawing>
          <wp:inline distT="0" distB="0" distL="0" distR="0">
            <wp:extent cx="5943600" cy="4457699"/>
            <wp:effectExtent l="19050" t="0" r="0" b="0"/>
            <wp:docPr id="4" name="Picture 3" descr="whoi_eppC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i_eppCosE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928" cy="44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35B" w:rsidRDefault="007B535B"/>
    <w:p w:rsidR="00BD0531" w:rsidRDefault="002233B3">
      <w:pPr>
        <w:spacing w:after="200" w:line="276" w:lineRule="auto"/>
      </w:pPr>
      <w:proofErr w:type="gramStart"/>
      <w:r>
        <w:t>Figure 4</w:t>
      </w:r>
      <w:r w:rsidR="007B535B">
        <w:t>.</w:t>
      </w:r>
      <w:proofErr w:type="gramEnd"/>
      <w:r w:rsidR="007B535B">
        <w:t xml:space="preserve">  Ensemble</w:t>
      </w:r>
      <w:r w:rsidR="00BD0531">
        <w:t xml:space="preserve"> of clear-sky calibration fits to different </w:t>
      </w:r>
      <w:proofErr w:type="spellStart"/>
      <w:r w:rsidR="00BD0531">
        <w:t>pyranometers</w:t>
      </w:r>
      <w:proofErr w:type="spellEnd"/>
      <w:r w:rsidR="00BD0531">
        <w:t xml:space="preserve"> from Boulder and Woods Hole rooftop deployments – </w:t>
      </w:r>
      <w:r w:rsidR="00DE6B58">
        <w:t xml:space="preserve">four different </w:t>
      </w:r>
      <w:proofErr w:type="spellStart"/>
      <w:r w:rsidR="00BD0531">
        <w:t>Eppley</w:t>
      </w:r>
      <w:proofErr w:type="spellEnd"/>
      <w:r w:rsidR="00BD0531">
        <w:t xml:space="preserve"> PSP (green), </w:t>
      </w:r>
      <w:proofErr w:type="spellStart"/>
      <w:r w:rsidR="00BD0531">
        <w:t>Kipp</w:t>
      </w:r>
      <w:proofErr w:type="spellEnd"/>
      <w:r w:rsidR="00BD0531">
        <w:t xml:space="preserve"> and </w:t>
      </w:r>
      <w:proofErr w:type="spellStart"/>
      <w:r w:rsidR="00BD0531">
        <w:t>Zonen</w:t>
      </w:r>
      <w:proofErr w:type="spellEnd"/>
      <w:r w:rsidR="00BD0531">
        <w:t xml:space="preserve"> CM21 (blue), </w:t>
      </w:r>
      <w:proofErr w:type="spellStart"/>
      <w:r w:rsidR="00BD0531">
        <w:t>Eppley</w:t>
      </w:r>
      <w:proofErr w:type="spellEnd"/>
      <w:r w:rsidR="00BD0531">
        <w:t xml:space="preserve"> 848 (red), </w:t>
      </w:r>
      <w:proofErr w:type="spellStart"/>
      <w:r w:rsidR="00BD0531">
        <w:t>Kipp</w:t>
      </w:r>
      <w:proofErr w:type="spellEnd"/>
      <w:r w:rsidR="00BD0531">
        <w:t xml:space="preserve"> and </w:t>
      </w:r>
      <w:proofErr w:type="spellStart"/>
      <w:r w:rsidR="00BD0531">
        <w:t>Zonen</w:t>
      </w:r>
      <w:proofErr w:type="spellEnd"/>
      <w:r w:rsidR="00BD0531">
        <w:t xml:space="preserve"> CM22 (black). </w:t>
      </w:r>
    </w:p>
    <w:p w:rsidR="00BD0531" w:rsidRDefault="00BD0531">
      <w:pPr>
        <w:spacing w:after="200" w:line="276" w:lineRule="auto"/>
      </w:pPr>
    </w:p>
    <w:p w:rsidR="007B535B" w:rsidRDefault="007B535B">
      <w:pPr>
        <w:spacing w:after="200" w:line="276" w:lineRule="auto"/>
      </w:pPr>
      <w:r>
        <w:br w:type="page"/>
      </w:r>
    </w:p>
    <w:p w:rsidR="00B61000" w:rsidRDefault="00DC67B6">
      <w:r>
        <w:rPr>
          <w:noProof/>
        </w:rPr>
        <w:lastRenderedPageBreak/>
        <w:drawing>
          <wp:inline distT="0" distB="0" distL="0" distR="0">
            <wp:extent cx="6299200" cy="4724400"/>
            <wp:effectExtent l="19050" t="0" r="6350" b="0"/>
            <wp:docPr id="7" name="Picture 6" descr="whoi_eppCosE_p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i_eppCosE_psp1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844" w:rsidRDefault="00227844"/>
    <w:p w:rsidR="0088605B" w:rsidRDefault="002233B3" w:rsidP="0088605B">
      <w:proofErr w:type="gramStart"/>
      <w:r>
        <w:t>Figure 5</w:t>
      </w:r>
      <w:r w:rsidR="00227844">
        <w:t>.</w:t>
      </w:r>
      <w:proofErr w:type="gramEnd"/>
      <w:r w:rsidR="00227844">
        <w:t xml:space="preserve">  Ensemble of calibration fits to a single </w:t>
      </w:r>
      <w:proofErr w:type="spellStart"/>
      <w:r w:rsidR="00227844">
        <w:t>Eppley</w:t>
      </w:r>
      <w:proofErr w:type="spellEnd"/>
      <w:r w:rsidR="00227844">
        <w:t xml:space="preserve"> PSP </w:t>
      </w:r>
      <w:proofErr w:type="spellStart"/>
      <w:r w:rsidR="00227844">
        <w:t>pyranometer</w:t>
      </w:r>
      <w:proofErr w:type="spellEnd"/>
      <w:r w:rsidR="00227844">
        <w:t xml:space="preserve"> from the Woods Hole rooftop deployments – colors denote different values o</w:t>
      </w:r>
      <w:r w:rsidR="0088605B">
        <w:t xml:space="preserve">f the transmission coefficient.  The fit is done to observations for </w:t>
      </w:r>
      <w:r w:rsidR="0088605B" w:rsidRPr="005277B7">
        <w:rPr>
          <w:i/>
        </w:rPr>
        <w:t>T</w:t>
      </w:r>
      <w:r w:rsidR="0088605B">
        <w:t xml:space="preserve"> ranging from 0.9-1.1, 0.8-0.9, 0.7-0.8, 0.6-.07, 0.5-0.5, 0.3-0.5, and 0.1-0.3; mean </w:t>
      </w:r>
      <w:r w:rsidR="0088605B" w:rsidRPr="0088605B">
        <w:rPr>
          <w:i/>
        </w:rPr>
        <w:t>T</w:t>
      </w:r>
      <w:r w:rsidR="0088605B">
        <w:t xml:space="preserve"> values for the intervals shown in the legend.</w:t>
      </w:r>
    </w:p>
    <w:p w:rsidR="00227844" w:rsidRDefault="00227844" w:rsidP="00227844">
      <w:pPr>
        <w:spacing w:after="200" w:line="276" w:lineRule="auto"/>
      </w:pPr>
    </w:p>
    <w:p w:rsidR="005040F6" w:rsidRDefault="005040F6"/>
    <w:p w:rsidR="00DE6B58" w:rsidRDefault="00DE6B58">
      <w:pPr>
        <w:spacing w:after="200" w:line="276" w:lineRule="auto"/>
      </w:pPr>
      <w:r>
        <w:br w:type="page"/>
      </w:r>
    </w:p>
    <w:p w:rsidR="00DE6B58" w:rsidRDefault="00DE6B58"/>
    <w:p w:rsidR="005040F6" w:rsidRDefault="00A03435">
      <w:r>
        <w:rPr>
          <w:noProof/>
        </w:rPr>
        <w:drawing>
          <wp:inline distT="0" distB="0" distL="0" distR="0">
            <wp:extent cx="5702300" cy="4276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35" w:rsidRDefault="0011190F">
      <w:proofErr w:type="gramStart"/>
      <w:r>
        <w:t>Figure 6.</w:t>
      </w:r>
      <w:proofErr w:type="gramEnd"/>
      <w:r>
        <w:t xml:space="preserve">  The average coefficient </w:t>
      </w:r>
      <w:proofErr w:type="gramStart"/>
      <w:r w:rsidRPr="0011190F">
        <w:rPr>
          <w:i/>
        </w:rPr>
        <w:t>a</w:t>
      </w:r>
      <w:r>
        <w:t xml:space="preserve"> from</w:t>
      </w:r>
      <w:proofErr w:type="gramEnd"/>
      <w:r>
        <w:t xml:space="preserve"> (9) for four </w:t>
      </w:r>
      <w:proofErr w:type="spellStart"/>
      <w:r>
        <w:t>Eppley</w:t>
      </w:r>
      <w:proofErr w:type="spellEnd"/>
      <w:r>
        <w:t xml:space="preserve"> PSP’s as a function of solar transmission coefficient.  The clear sky flux is estimated from a simple model (</w:t>
      </w:r>
      <w:proofErr w:type="spellStart"/>
      <w:r>
        <w:t>Iqbal</w:t>
      </w:r>
      <w:proofErr w:type="spellEnd"/>
      <w:r>
        <w:t xml:space="preserve"> 1988</w:t>
      </w:r>
      <w:r w:rsidR="0088605B">
        <w:t>).</w:t>
      </w:r>
    </w:p>
    <w:sectPr w:rsidR="00A03435" w:rsidSect="00BE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64" w:rsidRDefault="00171D64" w:rsidP="00326A5A">
      <w:r>
        <w:separator/>
      </w:r>
    </w:p>
  </w:endnote>
  <w:endnote w:type="continuationSeparator" w:id="0">
    <w:p w:rsidR="00171D64" w:rsidRDefault="00171D64" w:rsidP="0032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64" w:rsidRDefault="00171D64" w:rsidP="00326A5A">
      <w:r>
        <w:separator/>
      </w:r>
    </w:p>
  </w:footnote>
  <w:footnote w:type="continuationSeparator" w:id="0">
    <w:p w:rsidR="00171D64" w:rsidRDefault="00171D64" w:rsidP="00326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7C0"/>
    <w:rsid w:val="00032061"/>
    <w:rsid w:val="000F45BF"/>
    <w:rsid w:val="000F4961"/>
    <w:rsid w:val="0011153E"/>
    <w:rsid w:val="0011190F"/>
    <w:rsid w:val="00124687"/>
    <w:rsid w:val="00171D64"/>
    <w:rsid w:val="00191147"/>
    <w:rsid w:val="001A661F"/>
    <w:rsid w:val="00212230"/>
    <w:rsid w:val="002233B3"/>
    <w:rsid w:val="00227844"/>
    <w:rsid w:val="00243C29"/>
    <w:rsid w:val="00280A06"/>
    <w:rsid w:val="00281D63"/>
    <w:rsid w:val="002B109A"/>
    <w:rsid w:val="002E7EBE"/>
    <w:rsid w:val="00326A5A"/>
    <w:rsid w:val="003D3377"/>
    <w:rsid w:val="00403C55"/>
    <w:rsid w:val="00497A2F"/>
    <w:rsid w:val="004A5ED2"/>
    <w:rsid w:val="004C7B66"/>
    <w:rsid w:val="005040F6"/>
    <w:rsid w:val="00517F23"/>
    <w:rsid w:val="005277B7"/>
    <w:rsid w:val="005B07C0"/>
    <w:rsid w:val="005E2DF7"/>
    <w:rsid w:val="00652BE3"/>
    <w:rsid w:val="0071154B"/>
    <w:rsid w:val="007518B8"/>
    <w:rsid w:val="00763E59"/>
    <w:rsid w:val="00784996"/>
    <w:rsid w:val="007B535B"/>
    <w:rsid w:val="008211F8"/>
    <w:rsid w:val="00821C28"/>
    <w:rsid w:val="008337A9"/>
    <w:rsid w:val="00870CF1"/>
    <w:rsid w:val="0088605B"/>
    <w:rsid w:val="008C2BF0"/>
    <w:rsid w:val="008C4767"/>
    <w:rsid w:val="00960243"/>
    <w:rsid w:val="00975B23"/>
    <w:rsid w:val="009B5966"/>
    <w:rsid w:val="00A03435"/>
    <w:rsid w:val="00A26395"/>
    <w:rsid w:val="00A708C1"/>
    <w:rsid w:val="00AB2F81"/>
    <w:rsid w:val="00B51899"/>
    <w:rsid w:val="00B61000"/>
    <w:rsid w:val="00B70245"/>
    <w:rsid w:val="00BA6F33"/>
    <w:rsid w:val="00BD0531"/>
    <w:rsid w:val="00BE6CC8"/>
    <w:rsid w:val="00C82044"/>
    <w:rsid w:val="00C87A74"/>
    <w:rsid w:val="00C90A96"/>
    <w:rsid w:val="00CE10B8"/>
    <w:rsid w:val="00DA3A29"/>
    <w:rsid w:val="00DA4093"/>
    <w:rsid w:val="00DA6993"/>
    <w:rsid w:val="00DC67B6"/>
    <w:rsid w:val="00DE6B58"/>
    <w:rsid w:val="00E40B3B"/>
    <w:rsid w:val="00E80A23"/>
    <w:rsid w:val="00E862F6"/>
    <w:rsid w:val="00EB2364"/>
    <w:rsid w:val="00ED514A"/>
    <w:rsid w:val="00FA2387"/>
    <w:rsid w:val="00FD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8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6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A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6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A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jpe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7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3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9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Fairall</dc:creator>
  <cp:lastModifiedBy>cfairall</cp:lastModifiedBy>
  <cp:revision>46</cp:revision>
  <dcterms:created xsi:type="dcterms:W3CDTF">2010-10-27T22:46:00Z</dcterms:created>
  <dcterms:modified xsi:type="dcterms:W3CDTF">2010-11-02T15:28:00Z</dcterms:modified>
</cp:coreProperties>
</file>