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CD9BD" w14:textId="4D3B0A38" w:rsidR="00281A30" w:rsidRPr="00585E50" w:rsidRDefault="00F47468">
      <w:pPr>
        <w:rPr>
          <w:rFonts w:eastAsia="Times New Roman" w:cstheme="minorHAnsi"/>
          <w:b/>
          <w:i/>
          <w:color w:val="222222"/>
        </w:rPr>
      </w:pPr>
      <w:r w:rsidRPr="00585E50">
        <w:rPr>
          <w:rFonts w:eastAsia="Times New Roman" w:cstheme="minorHAnsi"/>
          <w:b/>
          <w:color w:val="222222"/>
        </w:rPr>
        <w:t>Underway TSG</w:t>
      </w:r>
      <w:r w:rsidR="00281A30" w:rsidRPr="00585E50">
        <w:rPr>
          <w:rFonts w:eastAsia="Times New Roman" w:cstheme="minorHAnsi"/>
          <w:b/>
          <w:color w:val="222222"/>
        </w:rPr>
        <w:t xml:space="preserve"> data readme and best practices for </w:t>
      </w:r>
      <w:r w:rsidR="00281A30" w:rsidRPr="00585E50">
        <w:rPr>
          <w:rFonts w:eastAsia="Times New Roman" w:cstheme="minorHAnsi"/>
          <w:b/>
          <w:i/>
          <w:color w:val="222222"/>
        </w:rPr>
        <w:t>R/V Sally Ride</w:t>
      </w:r>
    </w:p>
    <w:p w14:paraId="0425F9F0" w14:textId="3FF22FD9" w:rsidR="00281A30" w:rsidRDefault="00281A30">
      <w:pPr>
        <w:rPr>
          <w:rFonts w:eastAsia="Times New Roman" w:cstheme="minorHAnsi"/>
          <w:color w:val="222222"/>
        </w:rPr>
      </w:pPr>
    </w:p>
    <w:p w14:paraId="06BC5560" w14:textId="7CDF9EEE" w:rsidR="00281A30" w:rsidRDefault="00281A30">
      <w:pPr>
        <w:rPr>
          <w:rFonts w:eastAsia="Times New Roman" w:cstheme="minorHAnsi"/>
          <w:color w:val="222222"/>
        </w:rPr>
      </w:pPr>
      <w:r>
        <w:rPr>
          <w:rFonts w:eastAsia="Times New Roman" w:cstheme="minorHAnsi"/>
          <w:color w:val="222222"/>
        </w:rPr>
        <w:t>Elizabeth J. Thompson</w:t>
      </w:r>
    </w:p>
    <w:p w14:paraId="29E116F5" w14:textId="5B4B6103" w:rsidR="00F47468" w:rsidRDefault="00F47468">
      <w:pPr>
        <w:rPr>
          <w:rFonts w:eastAsia="Times New Roman" w:cstheme="minorHAnsi"/>
          <w:color w:val="222222"/>
        </w:rPr>
      </w:pPr>
      <w:r>
        <w:rPr>
          <w:rFonts w:eastAsia="Times New Roman" w:cstheme="minorHAnsi"/>
          <w:color w:val="222222"/>
        </w:rPr>
        <w:t>NOAA Physical Sciences Laboratory</w:t>
      </w:r>
    </w:p>
    <w:p w14:paraId="3D062B94" w14:textId="0223EB24" w:rsidR="00281A30" w:rsidRDefault="00281A30">
      <w:pPr>
        <w:rPr>
          <w:rFonts w:eastAsia="Times New Roman" w:cstheme="minorHAnsi"/>
          <w:color w:val="222222"/>
        </w:rPr>
      </w:pPr>
      <w:r>
        <w:rPr>
          <w:rFonts w:eastAsia="Times New Roman" w:cstheme="minorHAnsi"/>
          <w:color w:val="222222"/>
        </w:rPr>
        <w:t>elizabeth.thompson@noaa.gov</w:t>
      </w:r>
    </w:p>
    <w:p w14:paraId="3F46F897" w14:textId="0A15F8C7" w:rsidR="00281A30" w:rsidRDefault="00F47468">
      <w:pPr>
        <w:rPr>
          <w:rFonts w:eastAsia="Times New Roman" w:cstheme="minorHAnsi"/>
          <w:color w:val="222222"/>
        </w:rPr>
      </w:pPr>
      <w:r>
        <w:rPr>
          <w:rFonts w:eastAsia="Times New Roman" w:cstheme="minorHAnsi"/>
          <w:color w:val="222222"/>
        </w:rPr>
        <w:t xml:space="preserve">Fall </w:t>
      </w:r>
      <w:r w:rsidR="00281A30">
        <w:rPr>
          <w:rFonts w:eastAsia="Times New Roman" w:cstheme="minorHAnsi"/>
          <w:color w:val="222222"/>
        </w:rPr>
        <w:t>2020</w:t>
      </w:r>
    </w:p>
    <w:p w14:paraId="07F59741" w14:textId="77777777" w:rsidR="00585E50" w:rsidRDefault="00585E50">
      <w:pPr>
        <w:rPr>
          <w:rFonts w:eastAsia="Times New Roman" w:cstheme="minorHAnsi"/>
          <w:color w:val="222222"/>
        </w:rPr>
      </w:pPr>
    </w:p>
    <w:p w14:paraId="60CE6E15" w14:textId="77777777" w:rsidR="00281A30" w:rsidRDefault="00281A30">
      <w:pPr>
        <w:rPr>
          <w:rFonts w:eastAsia="Times New Roman" w:cstheme="minorHAnsi"/>
          <w:color w:val="222222"/>
        </w:rPr>
      </w:pPr>
    </w:p>
    <w:p w14:paraId="082BBF67" w14:textId="064EF58F" w:rsidR="00281A30" w:rsidRDefault="00281A30">
      <w:r>
        <w:rPr>
          <w:rFonts w:eastAsia="Times New Roman" w:cstheme="minorHAnsi"/>
          <w:color w:val="222222"/>
        </w:rPr>
        <w:t>T</w:t>
      </w:r>
      <w:r w:rsidRPr="00315100">
        <w:rPr>
          <w:rFonts w:eastAsia="Times New Roman" w:cstheme="minorHAnsi"/>
          <w:color w:val="222222"/>
        </w:rPr>
        <w:t xml:space="preserve">wo </w:t>
      </w:r>
      <w:proofErr w:type="spellStart"/>
      <w:r w:rsidRPr="00315100">
        <w:rPr>
          <w:rFonts w:eastAsia="Times New Roman" w:cstheme="minorHAnsi"/>
          <w:color w:val="222222"/>
        </w:rPr>
        <w:t>thermosalinigraph</w:t>
      </w:r>
      <w:proofErr w:type="spellEnd"/>
      <w:r w:rsidRPr="00315100">
        <w:rPr>
          <w:rFonts w:eastAsia="Times New Roman" w:cstheme="minorHAnsi"/>
          <w:color w:val="222222"/>
        </w:rPr>
        <w:t xml:space="preserve"> SBE45</w:t>
      </w:r>
      <w:r>
        <w:rPr>
          <w:rFonts w:eastAsia="Times New Roman" w:cstheme="minorHAnsi"/>
          <w:color w:val="222222"/>
        </w:rPr>
        <w:t xml:space="preserve"> models </w:t>
      </w:r>
      <w:r>
        <w:rPr>
          <w:rFonts w:eastAsia="Times New Roman" w:cstheme="minorHAnsi"/>
          <w:color w:val="222222"/>
        </w:rPr>
        <w:t>are</w:t>
      </w:r>
      <w:r>
        <w:rPr>
          <w:rFonts w:eastAsia="Times New Roman" w:cstheme="minorHAnsi"/>
          <w:color w:val="222222"/>
        </w:rPr>
        <w:t xml:space="preserve"> on board</w:t>
      </w:r>
      <w:r w:rsidR="00AA44D0">
        <w:rPr>
          <w:rFonts w:eastAsia="Times New Roman" w:cstheme="minorHAnsi"/>
          <w:color w:val="222222"/>
        </w:rPr>
        <w:t xml:space="preserve"> (Figure 1, Figure 2)</w:t>
      </w:r>
      <w:r>
        <w:rPr>
          <w:rFonts w:eastAsia="Times New Roman" w:cstheme="minorHAnsi"/>
          <w:color w:val="222222"/>
        </w:rPr>
        <w:t xml:space="preserve">, which each measure water being pumped from </w:t>
      </w:r>
      <w:r>
        <w:rPr>
          <w:rFonts w:eastAsia="Times New Roman" w:cstheme="minorHAnsi"/>
          <w:color w:val="222222"/>
        </w:rPr>
        <w:t xml:space="preserve">one of </w:t>
      </w:r>
      <w:r>
        <w:rPr>
          <w:rFonts w:eastAsia="Times New Roman" w:cstheme="minorHAnsi"/>
          <w:color w:val="222222"/>
        </w:rPr>
        <w:t xml:space="preserve">two different locations on the ship hull. </w:t>
      </w:r>
      <w:bookmarkStart w:id="0" w:name="_GoBack"/>
      <w:bookmarkEnd w:id="0"/>
      <w:r>
        <w:rPr>
          <w:rFonts w:eastAsia="Times New Roman" w:cstheme="minorHAnsi"/>
          <w:color w:val="222222"/>
        </w:rPr>
        <w:t>S</w:t>
      </w:r>
      <w:r w:rsidRPr="00315100">
        <w:rPr>
          <w:rFonts w:eastAsia="Times New Roman" w:cstheme="minorHAnsi"/>
          <w:color w:val="222222"/>
        </w:rPr>
        <w:t xml:space="preserve">eawater T and S </w:t>
      </w:r>
      <w:r>
        <w:rPr>
          <w:rFonts w:eastAsia="Times New Roman" w:cstheme="minorHAnsi"/>
          <w:color w:val="222222"/>
        </w:rPr>
        <w:t>are</w:t>
      </w:r>
      <w:r>
        <w:rPr>
          <w:rFonts w:eastAsia="Times New Roman" w:cstheme="minorHAnsi"/>
          <w:color w:val="222222"/>
        </w:rPr>
        <w:t xml:space="preserve"> measured by the TSGs. The</w:t>
      </w:r>
      <w:r w:rsidRPr="00315100">
        <w:rPr>
          <w:rFonts w:eastAsia="Times New Roman" w:cstheme="minorHAnsi"/>
          <w:color w:val="222222"/>
        </w:rPr>
        <w:t xml:space="preserve"> </w:t>
      </w:r>
      <w:r>
        <w:rPr>
          <w:rFonts w:eastAsia="Times New Roman" w:cstheme="minorHAnsi"/>
          <w:color w:val="222222"/>
        </w:rPr>
        <w:t xml:space="preserve">water </w:t>
      </w:r>
      <w:r>
        <w:rPr>
          <w:rFonts w:eastAsia="Times New Roman" w:cstheme="minorHAnsi"/>
          <w:color w:val="222222"/>
        </w:rPr>
        <w:t>can be</w:t>
      </w:r>
      <w:r>
        <w:rPr>
          <w:rFonts w:eastAsia="Times New Roman" w:cstheme="minorHAnsi"/>
          <w:color w:val="222222"/>
        </w:rPr>
        <w:t xml:space="preserve"> pumped from </w:t>
      </w:r>
      <w:r>
        <w:rPr>
          <w:rFonts w:eastAsia="Times New Roman" w:cstheme="minorHAnsi"/>
          <w:color w:val="222222"/>
        </w:rPr>
        <w:t>one of two locations on the ship hull:</w:t>
      </w:r>
      <w:r w:rsidRPr="00315100">
        <w:rPr>
          <w:rFonts w:eastAsia="Times New Roman" w:cstheme="minorHAnsi"/>
          <w:color w:val="222222"/>
        </w:rPr>
        <w:t xml:space="preserve"> </w:t>
      </w:r>
      <w:r>
        <w:rPr>
          <w:rFonts w:eastAsia="Times New Roman" w:cstheme="minorHAnsi"/>
          <w:color w:val="222222"/>
        </w:rPr>
        <w:t xml:space="preserve">either </w:t>
      </w:r>
      <w:r w:rsidRPr="00315100">
        <w:rPr>
          <w:rFonts w:eastAsia="Times New Roman" w:cstheme="minorHAnsi"/>
          <w:color w:val="222222"/>
        </w:rPr>
        <w:t xml:space="preserve">the starboard bow </w:t>
      </w:r>
      <w:r>
        <w:rPr>
          <w:rFonts w:eastAsia="Times New Roman" w:cstheme="minorHAnsi"/>
          <w:color w:val="222222"/>
        </w:rPr>
        <w:t>or the</w:t>
      </w:r>
      <w:r w:rsidRPr="00315100">
        <w:rPr>
          <w:rFonts w:eastAsia="Times New Roman" w:cstheme="minorHAnsi"/>
          <w:color w:val="222222"/>
        </w:rPr>
        <w:t xml:space="preserve"> aft engine room </w:t>
      </w:r>
      <w:r>
        <w:rPr>
          <w:rFonts w:eastAsia="Times New Roman" w:cstheme="minorHAnsi"/>
          <w:color w:val="222222"/>
        </w:rPr>
        <w:t>area</w:t>
      </w:r>
      <w:r w:rsidRPr="00315100">
        <w:rPr>
          <w:rFonts w:eastAsia="Times New Roman" w:cstheme="minorHAnsi"/>
          <w:color w:val="222222"/>
        </w:rPr>
        <w:t xml:space="preserve">. </w:t>
      </w:r>
      <w:r>
        <w:rPr>
          <w:rFonts w:eastAsia="Times New Roman" w:cstheme="minorHAnsi"/>
          <w:color w:val="222222"/>
        </w:rPr>
        <w:t xml:space="preserve">These two intakes are connected by a series of pipes such that they cannot both be pumped or opened independently, since the water mixes in between. The 2 TSGs on board sample the same water, just at different times depending on which intake and pump is being used as the source of seawater. </w:t>
      </w:r>
      <w:r w:rsidR="00F47468">
        <w:t>The two TSGs are not independent because they share common plumbing</w:t>
      </w:r>
      <w:r w:rsidR="00F47468">
        <w:t>, and they are not necessarily calibrated equally</w:t>
      </w:r>
      <w:r w:rsidR="00F47468">
        <w:t xml:space="preserve">. </w:t>
      </w:r>
      <w:r w:rsidR="00F47468">
        <w:t>Therefore, the data from the two TSGs are</w:t>
      </w:r>
      <w:r w:rsidR="00F47468">
        <w:t xml:space="preserve"> not independent and </w:t>
      </w:r>
      <w:r w:rsidR="00F47468">
        <w:t>should</w:t>
      </w:r>
      <w:r w:rsidR="00F47468">
        <w:t xml:space="preserve"> not be averaged together or </w:t>
      </w:r>
      <w:r w:rsidR="00F47468">
        <w:t xml:space="preserve">even </w:t>
      </w:r>
      <w:r w:rsidR="00F47468">
        <w:t>compared</w:t>
      </w:r>
      <w:r w:rsidR="00F47468">
        <w:t xml:space="preserve"> for science purposes. The TSG data to use on each cruise should be the one that measures closest to the intake being used to pump in seawater. </w:t>
      </w:r>
    </w:p>
    <w:p w14:paraId="4AA8000C" w14:textId="6A621035" w:rsidR="00F47468" w:rsidRDefault="00F47468">
      <w:pPr>
        <w:rPr>
          <w:rFonts w:eastAsia="Times New Roman" w:cstheme="minorHAnsi"/>
          <w:color w:val="222222"/>
        </w:rPr>
      </w:pPr>
    </w:p>
    <w:p w14:paraId="41FC3B27" w14:textId="52462961" w:rsidR="00281A30" w:rsidRDefault="00F47468" w:rsidP="00281A30">
      <w:pPr>
        <w:rPr>
          <w:rFonts w:eastAsia="Times New Roman" w:cstheme="minorHAnsi"/>
          <w:color w:val="222222"/>
        </w:rPr>
      </w:pPr>
      <w:r>
        <w:rPr>
          <w:rFonts w:eastAsia="Times New Roman" w:cstheme="minorHAnsi"/>
          <w:color w:val="222222"/>
        </w:rPr>
        <w:t>Two potential intakes:</w:t>
      </w:r>
    </w:p>
    <w:p w14:paraId="3D7193B9" w14:textId="68AE618D" w:rsidR="00281A30" w:rsidRDefault="00281A30" w:rsidP="00F47468">
      <w:pPr>
        <w:pStyle w:val="ListParagraph"/>
        <w:numPr>
          <w:ilvl w:val="0"/>
          <w:numId w:val="1"/>
        </w:numPr>
      </w:pPr>
      <w:r w:rsidRPr="00F47468">
        <w:rPr>
          <w:rFonts w:eastAsia="Times New Roman" w:cstheme="minorHAnsi"/>
          <w:color w:val="222222"/>
        </w:rPr>
        <w:t xml:space="preserve">The </w:t>
      </w:r>
      <w:r w:rsidRPr="00315100">
        <w:t>ship bow intake = starboard hole at 3.6 m depth, 0.3-0.6 m forward and below bow thruster vent, feeds into bow thruster room.</w:t>
      </w:r>
      <w:r>
        <w:t xml:space="preserve"> </w:t>
      </w:r>
    </w:p>
    <w:p w14:paraId="493CF3FA" w14:textId="4053DA07" w:rsidR="00281A30" w:rsidRDefault="00281A30" w:rsidP="00F47468">
      <w:pPr>
        <w:pStyle w:val="ListParagraph"/>
        <w:numPr>
          <w:ilvl w:val="0"/>
          <w:numId w:val="1"/>
        </w:numPr>
      </w:pPr>
      <w:r>
        <w:t xml:space="preserve">The </w:t>
      </w:r>
      <w:proofErr w:type="spellStart"/>
      <w:r w:rsidRPr="00315100">
        <w:t>seachest</w:t>
      </w:r>
      <w:proofErr w:type="spellEnd"/>
      <w:r w:rsidRPr="00315100">
        <w:t xml:space="preserve"> intake = port vent between 2.3-3.4 m depth, 0.6-0.9 m aft and just above bilge keel, feeds into engine room.</w:t>
      </w:r>
      <w:r>
        <w:t xml:space="preserve"> </w:t>
      </w:r>
    </w:p>
    <w:p w14:paraId="6BE01442" w14:textId="10EA8D0A" w:rsidR="00281A30" w:rsidRDefault="00281A30" w:rsidP="00281A30"/>
    <w:p w14:paraId="11317361" w14:textId="7DBCDA80" w:rsidR="00F47468" w:rsidRDefault="00F47468" w:rsidP="00281A30">
      <w:r>
        <w:t>Two potential TSGs to get data from:</w:t>
      </w:r>
    </w:p>
    <w:p w14:paraId="26227BE9" w14:textId="1BC138F4" w:rsidR="00281A30" w:rsidRDefault="00281A30" w:rsidP="00F47468">
      <w:pPr>
        <w:pStyle w:val="ListParagraph"/>
        <w:numPr>
          <w:ilvl w:val="0"/>
          <w:numId w:val="2"/>
        </w:numPr>
      </w:pPr>
      <w:r w:rsidRPr="00315100">
        <w:t>TSG1 on ship's .MET files = TSG located in bow thruster room</w:t>
      </w:r>
      <w:r w:rsidR="00F47468">
        <w:t>. Flow rate variable = FI</w:t>
      </w:r>
    </w:p>
    <w:p w14:paraId="4E8B4916" w14:textId="371A4E1B" w:rsidR="00281A30" w:rsidRDefault="00281A30" w:rsidP="00F47468">
      <w:pPr>
        <w:pStyle w:val="ListParagraph"/>
        <w:numPr>
          <w:ilvl w:val="0"/>
          <w:numId w:val="2"/>
        </w:numPr>
      </w:pPr>
      <w:r w:rsidRPr="00315100">
        <w:t>TSG2 on ship's .MET files = TSG located in main lab</w:t>
      </w:r>
      <w:r w:rsidR="00F47468">
        <w:t>. Flow rate variable = FI-3</w:t>
      </w:r>
    </w:p>
    <w:p w14:paraId="4CE91DA1" w14:textId="497BD33F" w:rsidR="00281A30" w:rsidRDefault="00281A30" w:rsidP="00281A30"/>
    <w:p w14:paraId="2E640642" w14:textId="39E5E60D" w:rsidR="00F47468" w:rsidRDefault="00F47468" w:rsidP="00281A30">
      <w:r>
        <w:t>Two outcomes for using TSG data:</w:t>
      </w:r>
    </w:p>
    <w:p w14:paraId="33376665" w14:textId="43B74A27" w:rsidR="00F47468" w:rsidRDefault="00281A30" w:rsidP="00F47468">
      <w:pPr>
        <w:pStyle w:val="ListParagraph"/>
        <w:numPr>
          <w:ilvl w:val="0"/>
          <w:numId w:val="3"/>
        </w:numPr>
      </w:pPr>
      <w:r>
        <w:t xml:space="preserve">If the water is being pumped from the </w:t>
      </w:r>
      <w:proofErr w:type="spellStart"/>
      <w:r>
        <w:t>seachest</w:t>
      </w:r>
      <w:proofErr w:type="spellEnd"/>
      <w:r>
        <w:t xml:space="preserve">, it is sampled first by TSG2 and then resampled by TSG1 after traveling through pipes on the ship. </w:t>
      </w:r>
      <w:r w:rsidR="00F47468">
        <w:t>TSG2 should be used as the main data stream.</w:t>
      </w:r>
    </w:p>
    <w:p w14:paraId="7F7B1C50" w14:textId="45AAEE11" w:rsidR="00281A30" w:rsidRDefault="00281A30" w:rsidP="00F47468">
      <w:pPr>
        <w:pStyle w:val="ListParagraph"/>
        <w:numPr>
          <w:ilvl w:val="0"/>
          <w:numId w:val="3"/>
        </w:numPr>
      </w:pPr>
      <w:r>
        <w:t>If water is being pumped from the bow, it is sampled first by TSG1 and then resampled by TSG2 after traveling through pipes on the ship.</w:t>
      </w:r>
      <w:r w:rsidR="00F47468">
        <w:t xml:space="preserve"> TSG1 should be used in the main data stream</w:t>
      </w:r>
    </w:p>
    <w:p w14:paraId="0A3D16B2" w14:textId="5C43DC83" w:rsidR="00281A30" w:rsidRDefault="00281A30">
      <w:pPr>
        <w:rPr>
          <w:rFonts w:eastAsia="Times New Roman" w:cstheme="minorHAnsi"/>
          <w:color w:val="222222"/>
        </w:rPr>
      </w:pPr>
    </w:p>
    <w:p w14:paraId="326F725F" w14:textId="250B5D5A" w:rsidR="00F47468" w:rsidRDefault="00F47468">
      <w:pPr>
        <w:rPr>
          <w:rFonts w:eastAsia="Times New Roman" w:cstheme="minorHAnsi"/>
          <w:color w:val="222222"/>
        </w:rPr>
      </w:pPr>
      <w:r>
        <w:rPr>
          <w:rFonts w:eastAsia="Times New Roman" w:cstheme="minorHAnsi"/>
          <w:color w:val="222222"/>
        </w:rPr>
        <w:t xml:space="preserve">It is recommended to pump water from the aft </w:t>
      </w:r>
      <w:proofErr w:type="spellStart"/>
      <w:r>
        <w:rPr>
          <w:rFonts w:eastAsia="Times New Roman" w:cstheme="minorHAnsi"/>
          <w:color w:val="222222"/>
        </w:rPr>
        <w:t>seachest</w:t>
      </w:r>
      <w:proofErr w:type="spellEnd"/>
      <w:r>
        <w:rPr>
          <w:rFonts w:eastAsia="Times New Roman" w:cstheme="minorHAnsi"/>
          <w:color w:val="222222"/>
        </w:rPr>
        <w:t xml:space="preserve"> an use TSG2 as the main data stream. This is because the bow intake is closer to the water line and the ship bow pitches and rolls substantially. This causes the pump to lose its prime readily and often, and for the data quality to immediately begin to suffer. </w:t>
      </w:r>
      <w:r w:rsidRPr="00F47468">
        <w:t>It's</w:t>
      </w:r>
      <w:r>
        <w:t xml:space="preserve"> advised to</w:t>
      </w:r>
      <w:r w:rsidRPr="00F47468">
        <w:t xml:space="preserve"> not switch the direction or source of the flow during the cruis</w:t>
      </w:r>
      <w:r>
        <w:t>e</w:t>
      </w:r>
      <w:r w:rsidRPr="00F47468">
        <w:t xml:space="preserve">. </w:t>
      </w:r>
      <w:r>
        <w:t>This</w:t>
      </w:r>
      <w:r w:rsidRPr="00F47468">
        <w:t xml:space="preserve"> changes the flow and whether TSG1 or TSG2 are sampling water first/second.</w:t>
      </w:r>
      <w:r>
        <w:t xml:space="preserve"> T</w:t>
      </w:r>
      <w:r w:rsidRPr="00F47468">
        <w:t>his abruptly change</w:t>
      </w:r>
      <w:r>
        <w:t>s</w:t>
      </w:r>
      <w:r w:rsidRPr="00F47468">
        <w:t xml:space="preserve"> the values of T and S sampled by the sensors</w:t>
      </w:r>
      <w:r>
        <w:t>, and requires multiple corrections as a function of time.</w:t>
      </w:r>
    </w:p>
    <w:p w14:paraId="63E35C47" w14:textId="291180F1" w:rsidR="00F47468" w:rsidRDefault="00F47468">
      <w:pPr>
        <w:rPr>
          <w:rFonts w:eastAsia="Times New Roman" w:cstheme="minorHAnsi"/>
          <w:color w:val="222222"/>
        </w:rPr>
      </w:pPr>
    </w:p>
    <w:p w14:paraId="0618FA51" w14:textId="77777777" w:rsidR="00AA44D0" w:rsidRPr="00BC6225" w:rsidRDefault="00AA44D0" w:rsidP="00AA44D0">
      <w:pPr>
        <w:rPr>
          <w:rFonts w:asciiTheme="majorHAnsi" w:hAnsiTheme="majorHAnsi" w:cstheme="majorHAnsi"/>
          <w:b/>
        </w:rPr>
      </w:pPr>
    </w:p>
    <w:p w14:paraId="0747A469" w14:textId="77777777" w:rsidR="00AA44D0" w:rsidRPr="00BC6225" w:rsidRDefault="00AA44D0" w:rsidP="00AA44D0">
      <w:pPr>
        <w:rPr>
          <w:rFonts w:asciiTheme="majorHAnsi" w:hAnsiTheme="majorHAnsi" w:cstheme="majorHAnsi"/>
          <w:b/>
        </w:rPr>
      </w:pPr>
      <w:r w:rsidRPr="00BC6225">
        <w:rPr>
          <w:rFonts w:asciiTheme="majorHAnsi" w:hAnsiTheme="majorHAnsi" w:cstheme="majorHAnsi"/>
          <w:b/>
          <w:noProof/>
        </w:rPr>
        <w:drawing>
          <wp:inline distT="0" distB="0" distL="0" distR="0" wp14:anchorId="36C74879" wp14:editId="16342D8A">
            <wp:extent cx="5943600" cy="3329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lyRide_bow_TSG_port.pn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943600" cy="3329574"/>
                    </a:xfrm>
                    <a:prstGeom prst="rect">
                      <a:avLst/>
                    </a:prstGeom>
                    <a:ln>
                      <a:noFill/>
                    </a:ln>
                    <a:extLst>
                      <a:ext uri="{53640926-AAD7-44D8-BBD7-CCE9431645EC}">
                        <a14:shadowObscured xmlns:a14="http://schemas.microsoft.com/office/drawing/2010/main"/>
                      </a:ext>
                    </a:extLst>
                  </pic:spPr>
                </pic:pic>
              </a:graphicData>
            </a:graphic>
          </wp:inline>
        </w:drawing>
      </w:r>
    </w:p>
    <w:p w14:paraId="627AFF59" w14:textId="77777777" w:rsidR="00AA44D0" w:rsidRPr="00BC6225" w:rsidRDefault="00AA44D0" w:rsidP="00AA44D0">
      <w:pPr>
        <w:rPr>
          <w:rFonts w:asciiTheme="majorHAnsi" w:hAnsiTheme="majorHAnsi" w:cstheme="majorHAnsi"/>
          <w:b/>
        </w:rPr>
      </w:pPr>
      <w:r w:rsidRPr="00BC6225">
        <w:rPr>
          <w:rFonts w:asciiTheme="majorHAnsi" w:hAnsiTheme="majorHAnsi" w:cstheme="majorHAnsi"/>
          <w:b/>
        </w:rPr>
        <w:t xml:space="preserve">Figure 1: </w:t>
      </w:r>
      <w:r w:rsidRPr="00BC6225">
        <w:rPr>
          <w:rFonts w:asciiTheme="majorHAnsi" w:hAnsiTheme="majorHAnsi" w:cstheme="majorHAnsi"/>
        </w:rPr>
        <w:t>Starboard bow view of ship</w:t>
      </w:r>
      <w:r>
        <w:rPr>
          <w:rFonts w:asciiTheme="majorHAnsi" w:hAnsiTheme="majorHAnsi" w:cstheme="majorHAnsi"/>
        </w:rPr>
        <w:t xml:space="preserve">, showing </w:t>
      </w:r>
      <w:r w:rsidRPr="00BC6225">
        <w:rPr>
          <w:rFonts w:asciiTheme="majorHAnsi" w:hAnsiTheme="majorHAnsi" w:cstheme="majorHAnsi"/>
        </w:rPr>
        <w:t>the port used to pump water to the bow thruster room.</w:t>
      </w:r>
    </w:p>
    <w:p w14:paraId="23A2E3CF" w14:textId="77777777" w:rsidR="00AA44D0" w:rsidRPr="00BC6225" w:rsidRDefault="00AA44D0" w:rsidP="00AA44D0">
      <w:pPr>
        <w:rPr>
          <w:rFonts w:asciiTheme="majorHAnsi" w:hAnsiTheme="majorHAnsi" w:cstheme="majorHAnsi"/>
          <w:b/>
        </w:rPr>
      </w:pPr>
    </w:p>
    <w:p w14:paraId="3B0A33F2" w14:textId="77777777" w:rsidR="00AA44D0" w:rsidRPr="00BC6225" w:rsidRDefault="00AA44D0" w:rsidP="00AA44D0">
      <w:pPr>
        <w:rPr>
          <w:rFonts w:asciiTheme="majorHAnsi" w:hAnsiTheme="majorHAnsi" w:cstheme="majorHAnsi"/>
          <w:b/>
        </w:rPr>
      </w:pPr>
      <w:r w:rsidRPr="00BC6225">
        <w:rPr>
          <w:rFonts w:asciiTheme="majorHAnsi" w:hAnsiTheme="majorHAnsi" w:cstheme="majorHAnsi"/>
          <w:b/>
          <w:noProof/>
        </w:rPr>
        <w:drawing>
          <wp:inline distT="0" distB="0" distL="0" distR="0" wp14:anchorId="6AC3C9F7" wp14:editId="742809D4">
            <wp:extent cx="5943600" cy="33461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lyRIde_seachest_TSG_vent.pn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43600" cy="334611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rPr>
        <w:t xml:space="preserve"> </w:t>
      </w:r>
    </w:p>
    <w:p w14:paraId="1177AA27" w14:textId="77777777" w:rsidR="00AA44D0" w:rsidRPr="00BC6225" w:rsidRDefault="00AA44D0" w:rsidP="00AA44D0">
      <w:pPr>
        <w:rPr>
          <w:rFonts w:asciiTheme="majorHAnsi" w:hAnsiTheme="majorHAnsi" w:cstheme="majorHAnsi"/>
          <w:b/>
        </w:rPr>
      </w:pPr>
      <w:r w:rsidRPr="00BC6225">
        <w:rPr>
          <w:rFonts w:asciiTheme="majorHAnsi" w:hAnsiTheme="majorHAnsi" w:cstheme="majorHAnsi"/>
          <w:b/>
        </w:rPr>
        <w:t xml:space="preserve">Figure 2: </w:t>
      </w:r>
      <w:r w:rsidRPr="00BC6225">
        <w:rPr>
          <w:rFonts w:asciiTheme="majorHAnsi" w:hAnsiTheme="majorHAnsi" w:cstheme="majorHAnsi"/>
        </w:rPr>
        <w:t>portside aft view of ship</w:t>
      </w:r>
      <w:r>
        <w:rPr>
          <w:rFonts w:asciiTheme="majorHAnsi" w:hAnsiTheme="majorHAnsi" w:cstheme="majorHAnsi"/>
        </w:rPr>
        <w:t xml:space="preserve">, showing </w:t>
      </w:r>
      <w:r w:rsidRPr="00BC6225">
        <w:rPr>
          <w:rFonts w:asciiTheme="majorHAnsi" w:hAnsiTheme="majorHAnsi" w:cstheme="majorHAnsi"/>
        </w:rPr>
        <w:t>the vent used to pump water to the sea chest in the engine room.</w:t>
      </w:r>
    </w:p>
    <w:p w14:paraId="1F8C78D1" w14:textId="77777777" w:rsidR="00AA44D0" w:rsidRDefault="00AA44D0">
      <w:pPr>
        <w:rPr>
          <w:rFonts w:eastAsia="Times New Roman" w:cstheme="minorHAnsi"/>
          <w:color w:val="222222"/>
        </w:rPr>
      </w:pPr>
    </w:p>
    <w:p w14:paraId="34A9174F" w14:textId="0AE708A8" w:rsidR="00281A30" w:rsidRDefault="00281A30">
      <w:r>
        <w:lastRenderedPageBreak/>
        <w:t>It is recommended to examine the flow rate recorded for each TSG to ensure good data quality of T and S. TSG data</w:t>
      </w:r>
      <w:r>
        <w:t xml:space="preserve"> from </w:t>
      </w:r>
      <w:r>
        <w:t xml:space="preserve">a cruise in 2019 </w:t>
      </w:r>
      <w:r>
        <w:t xml:space="preserve">was only considered good when consistently high flow was recorded, approximately 1.75 L/min &gt; flow rate </w:t>
      </w:r>
      <w:proofErr w:type="gramStart"/>
      <w:r>
        <w:t>&gt;  3.5</w:t>
      </w:r>
      <w:proofErr w:type="gramEnd"/>
      <w:r>
        <w:t xml:space="preserve"> L/min. Values above and below these general levels were discarded. </w:t>
      </w:r>
      <w:r>
        <w:t>Additional</w:t>
      </w:r>
      <w:r>
        <w:t xml:space="preserve"> spikes in flow rate </w:t>
      </w:r>
      <w:r>
        <w:t xml:space="preserve">over short periods of time </w:t>
      </w:r>
      <w:r>
        <w:t>were also</w:t>
      </w:r>
      <w:r>
        <w:t xml:space="preserve"> found to be</w:t>
      </w:r>
      <w:r>
        <w:t xml:space="preserve"> associated with biased T and S measurements </w:t>
      </w:r>
      <w:r>
        <w:t>compared to an independently calibrated data source</w:t>
      </w:r>
      <w:r w:rsidR="00F47468">
        <w:t>. These</w:t>
      </w:r>
      <w:r>
        <w:t xml:space="preserve"> times </w:t>
      </w:r>
      <w:r w:rsidR="00F47468">
        <w:t xml:space="preserve">identified and then </w:t>
      </w:r>
      <w:r>
        <w:t xml:space="preserve">removed and/or smoothed </w:t>
      </w:r>
      <w:r w:rsidR="00F47468">
        <w:t xml:space="preserve">in time </w:t>
      </w:r>
      <w:r>
        <w:t xml:space="preserve">with neighboring values for </w:t>
      </w:r>
      <w:r w:rsidR="00F47468">
        <w:t xml:space="preserve">production of </w:t>
      </w:r>
      <w:r>
        <w:t>the final data time series</w:t>
      </w:r>
      <w:r>
        <w:t xml:space="preserve">. </w:t>
      </w:r>
    </w:p>
    <w:p w14:paraId="620E36A6" w14:textId="77777777" w:rsidR="00281A30" w:rsidRDefault="00281A30"/>
    <w:p w14:paraId="1D257059" w14:textId="01217161" w:rsidR="00281A30" w:rsidRDefault="00281A30" w:rsidP="00281A30">
      <w:pPr>
        <w:rPr>
          <w:rFonts w:eastAsia="Times New Roman" w:cstheme="minorHAnsi"/>
          <w:color w:val="222222"/>
        </w:rPr>
      </w:pPr>
      <w:r>
        <w:rPr>
          <w:rFonts w:eastAsia="Times New Roman" w:cstheme="minorHAnsi"/>
          <w:color w:val="222222"/>
        </w:rPr>
        <w:t>The exact</w:t>
      </w:r>
      <w:r w:rsidRPr="00315100">
        <w:rPr>
          <w:rFonts w:eastAsia="Times New Roman" w:cstheme="minorHAnsi"/>
          <w:color w:val="222222"/>
        </w:rPr>
        <w:t xml:space="preserve"> flow distortion around ship's hull, and subsequent mixing, is unknown. </w:t>
      </w:r>
      <w:r w:rsidR="00F47468">
        <w:rPr>
          <w:rFonts w:eastAsia="Times New Roman" w:cstheme="minorHAnsi"/>
          <w:color w:val="222222"/>
        </w:rPr>
        <w:t>However,</w:t>
      </w:r>
      <w:r>
        <w:rPr>
          <w:rFonts w:eastAsia="Times New Roman" w:cstheme="minorHAnsi"/>
          <w:color w:val="222222"/>
        </w:rPr>
        <w:t xml:space="preserve"> it is suspected that the properties of seawater sampled at the port are mostly representative of a mixture of water between the surface and the depth of the intake valve. </w:t>
      </w:r>
    </w:p>
    <w:p w14:paraId="5F24AD9E" w14:textId="15D4D033" w:rsidR="00281A30" w:rsidRDefault="00281A30"/>
    <w:p w14:paraId="2043FF02" w14:textId="5618A244" w:rsidR="00F47468" w:rsidRDefault="00F47468">
      <w:pPr>
        <w:rPr>
          <w:b/>
        </w:rPr>
      </w:pPr>
      <w:r w:rsidRPr="00F47468">
        <w:rPr>
          <w:b/>
        </w:rPr>
        <w:t>Multiple calibrations are recommended on every cruise</w:t>
      </w:r>
      <w:r w:rsidR="00585E50">
        <w:rPr>
          <w:b/>
        </w:rPr>
        <w:t xml:space="preserve"> (applies to all ships)</w:t>
      </w:r>
    </w:p>
    <w:p w14:paraId="459FCA88" w14:textId="77777777" w:rsidR="00F47468" w:rsidRPr="00F47468" w:rsidRDefault="00F47468">
      <w:pPr>
        <w:rPr>
          <w:b/>
        </w:rPr>
      </w:pPr>
    </w:p>
    <w:p w14:paraId="299E6F18" w14:textId="7346CFDA" w:rsidR="00F47468" w:rsidRDefault="00F47468">
      <w:r>
        <w:t xml:space="preserve">It is recommended for the ship to clean the TSGs with Tritenex and for them </w:t>
      </w:r>
      <w:r w:rsidRPr="00F47468">
        <w:t>to send the TSGs</w:t>
      </w:r>
      <w:r>
        <w:t xml:space="preserve">, </w:t>
      </w:r>
      <w:r w:rsidRPr="00F47468">
        <w:t>CTDs</w:t>
      </w:r>
      <w:r>
        <w:t xml:space="preserve">, </w:t>
      </w:r>
      <w:r w:rsidRPr="00F47468">
        <w:t>and thermistors</w:t>
      </w:r>
      <w:r>
        <w:t xml:space="preserve"> </w:t>
      </w:r>
      <w:r w:rsidRPr="00F47468">
        <w:t>back to Seabird as often as possible or as practical</w:t>
      </w:r>
      <w:r>
        <w:t>. During a cruise it is recommended to conduct</w:t>
      </w:r>
      <w:r w:rsidRPr="00F47468">
        <w:t xml:space="preserve"> a careful calibration </w:t>
      </w:r>
      <w:r>
        <w:t xml:space="preserve">of the TSGs </w:t>
      </w:r>
      <w:r w:rsidRPr="00F47468">
        <w:t xml:space="preserve">with the ship rosette CTD or another independent data source from the science party periodically on every cruise: at the very beginning, throughout, and at the end. Careful calibration would mean letting the CTD equilibrate to the subsurface water, as is likely standard procedure for CTD casts. Example: Let the rosette get dunked below 10 m and let it sit there for several minutes. Then bright it back up slowly to about 5 m without cresting above water for maybe 15-30 m to establish a long-enough dataset for calibration purposes to the TSGs at 3-5 m on the ship hull. Do this calibration when it is not raining and very late at night, such as between the hours of midnight and an hour before sunrise so that the water column is well mixed. During the daytime, temperature gradients exist in the upper few meters due to absorption of solar radiation. After rain, the surface water can be significantly cooler until the freshwater is mixed downward by wind. Since the T offset </w:t>
      </w:r>
      <w:r>
        <w:t xml:space="preserve">can sometimes </w:t>
      </w:r>
      <w:r w:rsidRPr="00F47468">
        <w:t xml:space="preserve">be related to ship speed and latitude (due to changing T of surrounding seawater), </w:t>
      </w:r>
      <w:r>
        <w:t xml:space="preserve">it is </w:t>
      </w:r>
      <w:proofErr w:type="gramStart"/>
      <w:r w:rsidRPr="00F47468">
        <w:t>recommend</w:t>
      </w:r>
      <w:proofErr w:type="gramEnd"/>
      <w:r w:rsidRPr="00F47468">
        <w:t xml:space="preserve"> </w:t>
      </w:r>
      <w:r>
        <w:t xml:space="preserve">to </w:t>
      </w:r>
      <w:r w:rsidRPr="00F47468">
        <w:t xml:space="preserve">repeat the calibration throughout the cruise to be sure of the offset diagnosis. Salinity offsets in TSGs and CTDs are known to exist and also to drift in time because the calculation of S depends on how clean the sensor is. Biofouling changes the measurement accuracy over time. </w:t>
      </w:r>
      <w:r>
        <w:t>It is typical to detect</w:t>
      </w:r>
      <w:r w:rsidRPr="00F47468">
        <w:t xml:space="preserve"> significant drifts in TSG and CTD biases of S during a single cruise, </w:t>
      </w:r>
      <w:r>
        <w:t xml:space="preserve">such as in a single 4-week cruise on </w:t>
      </w:r>
      <w:r w:rsidRPr="00F47468">
        <w:rPr>
          <w:i/>
        </w:rPr>
        <w:t>Ride</w:t>
      </w:r>
      <w:r w:rsidRPr="00F47468">
        <w:t xml:space="preserve">. This is why it'd be recommended to do multiple calibration CTD/TSG checks throughout the cruise, particularly right away at the beginning and at the end. </w:t>
      </w:r>
    </w:p>
    <w:p w14:paraId="33F93A6F" w14:textId="7B4373B6" w:rsidR="00F47468" w:rsidRDefault="00F47468"/>
    <w:p w14:paraId="65BB0094" w14:textId="77777777" w:rsidR="00F47468" w:rsidRDefault="00F47468"/>
    <w:p w14:paraId="559F64CB" w14:textId="25060176" w:rsidR="00F47468" w:rsidRDefault="00F47468">
      <w:pPr>
        <w:rPr>
          <w:b/>
        </w:rPr>
      </w:pPr>
      <w:r>
        <w:rPr>
          <w:b/>
        </w:rPr>
        <w:t>More info</w:t>
      </w:r>
      <w:r w:rsidRPr="00F47468">
        <w:rPr>
          <w:b/>
        </w:rPr>
        <w:t xml:space="preserve"> </w:t>
      </w:r>
      <w:r>
        <w:rPr>
          <w:b/>
        </w:rPr>
        <w:t xml:space="preserve">regarding readmes and </w:t>
      </w:r>
      <w:r w:rsidRPr="00F47468">
        <w:rPr>
          <w:b/>
        </w:rPr>
        <w:t xml:space="preserve">MET files provided to </w:t>
      </w:r>
      <w:r>
        <w:rPr>
          <w:b/>
        </w:rPr>
        <w:t xml:space="preserve">the </w:t>
      </w:r>
      <w:r w:rsidRPr="00F47468">
        <w:rPr>
          <w:b/>
        </w:rPr>
        <w:t xml:space="preserve">science party… </w:t>
      </w:r>
    </w:p>
    <w:p w14:paraId="011F68BD" w14:textId="77777777" w:rsidR="00F47468" w:rsidRPr="00F47468" w:rsidRDefault="00F47468">
      <w:pPr>
        <w:rPr>
          <w:b/>
        </w:rPr>
      </w:pPr>
    </w:p>
    <w:p w14:paraId="550DF1A7" w14:textId="5168C14C"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pPr>
      <w:r w:rsidRPr="00F47468">
        <w:t xml:space="preserve">Documentation and data file headers should be improved </w:t>
      </w:r>
      <w:r>
        <w:t xml:space="preserve">relative to what was used in fall 2019 </w:t>
      </w:r>
      <w:r w:rsidRPr="00F47468">
        <w:t>to more clearly document how seawater is being measured, such as</w:t>
      </w:r>
      <w:r>
        <w:t xml:space="preserve"> providing the</w:t>
      </w:r>
      <w:r w:rsidRPr="00F47468">
        <w:t xml:space="preserve"> text </w:t>
      </w:r>
      <w:r>
        <w:t>above</w:t>
      </w:r>
      <w:r w:rsidRPr="00F47468">
        <w:t xml:space="preserve"> </w:t>
      </w:r>
      <w:r>
        <w:t xml:space="preserve">to </w:t>
      </w:r>
      <w:r w:rsidRPr="00F47468">
        <w:t xml:space="preserve">explains where water is sampled from and </w:t>
      </w:r>
      <w:proofErr w:type="gramStart"/>
      <w:r w:rsidRPr="00F47468">
        <w:t>it’s</w:t>
      </w:r>
      <w:proofErr w:type="gramEnd"/>
      <w:r w:rsidRPr="00F47468">
        <w:t xml:space="preserve"> actual depth relative to water line. </w:t>
      </w:r>
      <w:r>
        <w:t>As of Fall 2019</w:t>
      </w:r>
      <w:r w:rsidRPr="00F47468">
        <w:t xml:space="preserve">, the .MET files provided by the ship </w:t>
      </w:r>
      <w:r>
        <w:t xml:space="preserve">also </w:t>
      </w:r>
      <w:r w:rsidRPr="00F47468">
        <w:t>ha</w:t>
      </w:r>
      <w:r>
        <w:t>d</w:t>
      </w:r>
      <w:r w:rsidRPr="00F47468">
        <w:t xml:space="preserve"> confusing headings for the TSGs. The numbering is not explained in any of the written documentation and is also not internally consistent. </w:t>
      </w:r>
    </w:p>
    <w:p w14:paraId="12FC827D" w14:textId="1BA220BC" w:rsidR="00F47468" w:rsidRPr="00F47468" w:rsidRDefault="00F47468" w:rsidP="00F47468">
      <w:pPr>
        <w:ind w:left="720"/>
        <w:rPr>
          <w:u w:val="single"/>
        </w:rPr>
      </w:pPr>
      <w:r w:rsidRPr="00F47468">
        <w:rPr>
          <w:u w:val="single"/>
        </w:rPr>
        <w:t xml:space="preserve">For all variables except flow rate, the numbering system </w:t>
      </w:r>
      <w:r>
        <w:rPr>
          <w:u w:val="single"/>
        </w:rPr>
        <w:t>was</w:t>
      </w:r>
      <w:r w:rsidRPr="00F47468">
        <w:rPr>
          <w:u w:val="single"/>
        </w:rPr>
        <w:t xml:space="preserve"> as follows:</w:t>
      </w:r>
    </w:p>
    <w:p w14:paraId="7C26C1AF"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lastRenderedPageBreak/>
        <w:t>Not numbered = first TSG mentioned in file. This is the TSG located in bow thruster room</w:t>
      </w:r>
    </w:p>
    <w:p w14:paraId="75E15354"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t>-2 suffix = second TSG mentioned in file. This is the TSG located in the main lab</w:t>
      </w:r>
    </w:p>
    <w:p w14:paraId="6046A7FD"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t>-3 suffix =third TSG mentioned. This header is not valid for this cruise. It might have been used for a prior cruise</w:t>
      </w:r>
    </w:p>
    <w:p w14:paraId="11A77319" w14:textId="35CE83AB" w:rsid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t xml:space="preserve">-4 suffix = fourth TSG mentioned This header is not valid for this cruise. It might have been used for a prior cruise </w:t>
      </w:r>
    </w:p>
    <w:p w14:paraId="4E9E19E0"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p>
    <w:p w14:paraId="5FF745EB" w14:textId="77777777" w:rsidR="00F47468" w:rsidRPr="00F47468" w:rsidRDefault="00F47468" w:rsidP="00F47468">
      <w:pPr>
        <w:ind w:left="720"/>
        <w:rPr>
          <w:u w:val="single"/>
        </w:rPr>
      </w:pPr>
      <w:r w:rsidRPr="00F47468">
        <w:rPr>
          <w:u w:val="single"/>
        </w:rPr>
        <w:t>For flow rate numbering, however,</w:t>
      </w:r>
    </w:p>
    <w:p w14:paraId="2C423F49"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t>FI is for first TSG-1 in bow thruster room</w:t>
      </w:r>
    </w:p>
    <w:p w14:paraId="0482911D"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t>FI-2 is for the PCO2 pump (which wasn’t reporting data during PISTON)</w:t>
      </w:r>
    </w:p>
    <w:p w14:paraId="2005C4DA" w14:textId="22538FA7" w:rsid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r w:rsidRPr="00F47468">
        <w:t>FI-3 is for second TSG-2 in main lab</w:t>
      </w:r>
    </w:p>
    <w:p w14:paraId="7ABAB502" w14:textId="77777777" w:rsidR="00F47468" w:rsidRPr="00F47468" w:rsidRDefault="00F47468" w:rsidP="00F47468">
      <w:pPr>
        <w:pBdr>
          <w:top w:val="none" w:sz="0" w:space="0" w:color="auto"/>
          <w:left w:val="none" w:sz="0" w:space="0" w:color="auto"/>
          <w:bottom w:val="none" w:sz="0" w:space="0" w:color="auto"/>
          <w:right w:val="none" w:sz="0" w:space="0" w:color="auto"/>
          <w:between w:val="none" w:sz="0" w:space="0" w:color="auto"/>
        </w:pBdr>
        <w:ind w:left="720"/>
      </w:pPr>
    </w:p>
    <w:p w14:paraId="185DA555" w14:textId="77777777" w:rsidR="00F47468" w:rsidRPr="00F47468" w:rsidRDefault="00F47468" w:rsidP="00F47468">
      <w:r w:rsidRPr="00F47468">
        <w:t xml:space="preserve">It is recommended that these variable names be renumbered in the .MET files to be internally consistent (all -2 values could be for TSG in main lab, all unnumbered or -1 values could be for bow thruster TSG, and all -3 and -4 data columns could be deleted because they do not typically contain data. </w:t>
      </w:r>
    </w:p>
    <w:p w14:paraId="41257533" w14:textId="23619C2C" w:rsidR="00F47468" w:rsidRDefault="00F47468"/>
    <w:p w14:paraId="1DCDBDF2" w14:textId="2C44A245" w:rsidR="00F47468" w:rsidRDefault="00F47468" w:rsidP="00F47468">
      <w:r>
        <w:t>As a final word of caution for seawater measurements</w:t>
      </w:r>
      <w:r>
        <w:t xml:space="preserve"> and their metadata or readmes provided on the ship</w:t>
      </w:r>
      <w:r>
        <w:t xml:space="preserve">, these data streams from subsurface measurements should never be interpreted or labeled as “sea </w:t>
      </w:r>
      <w:r w:rsidRPr="00F47468">
        <w:rPr>
          <w:b/>
        </w:rPr>
        <w:t>surface</w:t>
      </w:r>
      <w:r>
        <w:t xml:space="preserve"> temperature” or “sea </w:t>
      </w:r>
      <w:r w:rsidRPr="00F47468">
        <w:rPr>
          <w:b/>
        </w:rPr>
        <w:t>surface</w:t>
      </w:r>
      <w:r>
        <w:t xml:space="preserve"> salinity”. They are not currently listed as sea surface data in the data files, but this terminology is erroneously mentioned in the supporting documentation provided by the ship. In order for true sea surface temperature or salinity to be measured, a number of different methodologies </w:t>
      </w:r>
      <w:r>
        <w:t>would be</w:t>
      </w:r>
      <w:r>
        <w:t xml:space="preserve"> required:</w:t>
      </w:r>
    </w:p>
    <w:p w14:paraId="78FCABDA" w14:textId="2B342641" w:rsidR="00F47468" w:rsidRDefault="00F47468" w:rsidP="00F47468">
      <w:pPr>
        <w:pStyle w:val="ListParagraph"/>
        <w:numPr>
          <w:ilvl w:val="0"/>
          <w:numId w:val="9"/>
        </w:numPr>
      </w:pPr>
      <w:r>
        <w:t>a surface</w:t>
      </w:r>
      <w:r>
        <w:t>-</w:t>
      </w:r>
      <w:r>
        <w:t>following contact measurement must be made outside the ship wake</w:t>
      </w:r>
    </w:p>
    <w:p w14:paraId="1059BA37" w14:textId="1743C97C" w:rsidR="00F47468" w:rsidRDefault="00F47468" w:rsidP="00F47468">
      <w:pPr>
        <w:pStyle w:val="ListParagraph"/>
        <w:numPr>
          <w:ilvl w:val="0"/>
          <w:numId w:val="9"/>
        </w:numPr>
      </w:pPr>
      <w:r>
        <w:t>subsurface data must be processed through the COARE 3.</w:t>
      </w:r>
      <w:r>
        <w:t>6</w:t>
      </w:r>
      <w:r>
        <w:t xml:space="preserve"> </w:t>
      </w:r>
      <w:r>
        <w:t xml:space="preserve">bulk flux </w:t>
      </w:r>
      <w:r>
        <w:t xml:space="preserve">algorithm </w:t>
      </w:r>
      <w:r>
        <w:t>(</w:t>
      </w:r>
      <w:proofErr w:type="spellStart"/>
      <w:r>
        <w:t>Fairall</w:t>
      </w:r>
      <w:proofErr w:type="spellEnd"/>
      <w:r>
        <w:t xml:space="preserve"> et al. 1996) </w:t>
      </w:r>
      <w:r>
        <w:t xml:space="preserve">to account for two physical effects: </w:t>
      </w:r>
    </w:p>
    <w:p w14:paraId="5D4998BC" w14:textId="02708FCA" w:rsidR="00F47468" w:rsidRDefault="00F47468" w:rsidP="00F47468">
      <w:pPr>
        <w:pStyle w:val="ListParagraph"/>
        <w:numPr>
          <w:ilvl w:val="0"/>
          <w:numId w:val="7"/>
        </w:numPr>
      </w:pPr>
      <w:r>
        <w:t>diurnal warming above 5</w:t>
      </w:r>
      <w:r>
        <w:t>-10</w:t>
      </w:r>
      <w:r>
        <w:t xml:space="preserve"> m (can be up to 5 </w:t>
      </w:r>
      <w:proofErr w:type="spellStart"/>
      <w:r>
        <w:t>deg</w:t>
      </w:r>
      <w:proofErr w:type="spellEnd"/>
      <w:r>
        <w:t xml:space="preserve"> C when winds are weak and solar insulation is strong)</w:t>
      </w:r>
    </w:p>
    <w:p w14:paraId="72B11B0C" w14:textId="4521A6E7" w:rsidR="00F47468" w:rsidRDefault="00F47468" w:rsidP="00F47468">
      <w:pPr>
        <w:pStyle w:val="ListParagraph"/>
        <w:numPr>
          <w:ilvl w:val="0"/>
          <w:numId w:val="7"/>
        </w:numPr>
      </w:pPr>
      <w:r>
        <w:t>the cool skin effect produced by evaporation</w:t>
      </w:r>
      <w:r>
        <w:t xml:space="preserve"> and heat loss by sensible, latent, and radiative fluxes </w:t>
      </w:r>
      <w:r>
        <w:t xml:space="preserve">in the upper </w:t>
      </w:r>
      <w:r>
        <w:t xml:space="preserve">0.2 - </w:t>
      </w:r>
      <w:r>
        <w:t xml:space="preserve">1 mm (order 0.1 - 0.5 </w:t>
      </w:r>
      <w:proofErr w:type="spellStart"/>
      <w:r>
        <w:t>deg</w:t>
      </w:r>
      <w:proofErr w:type="spellEnd"/>
      <w:r>
        <w:t xml:space="preserve"> C depending on wind speed and air temperature)</w:t>
      </w:r>
    </w:p>
    <w:sectPr w:rsidR="00F47468" w:rsidSect="00C709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251"/>
    <w:multiLevelType w:val="hybridMultilevel"/>
    <w:tmpl w:val="8774D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A740C"/>
    <w:multiLevelType w:val="hybridMultilevel"/>
    <w:tmpl w:val="9CA4DD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CB7AA6"/>
    <w:multiLevelType w:val="hybridMultilevel"/>
    <w:tmpl w:val="14D0B0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E81F4A"/>
    <w:multiLevelType w:val="hybridMultilevel"/>
    <w:tmpl w:val="82F2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60AA6"/>
    <w:multiLevelType w:val="hybridMultilevel"/>
    <w:tmpl w:val="41968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9B1966"/>
    <w:multiLevelType w:val="hybridMultilevel"/>
    <w:tmpl w:val="272AD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33914"/>
    <w:multiLevelType w:val="hybridMultilevel"/>
    <w:tmpl w:val="F6748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9A4C7C"/>
    <w:multiLevelType w:val="hybridMultilevel"/>
    <w:tmpl w:val="215E5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A369D9"/>
    <w:multiLevelType w:val="hybridMultilevel"/>
    <w:tmpl w:val="F3D03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3"/>
  </w:num>
  <w:num w:numId="5">
    <w:abstractNumId w:val="7"/>
  </w:num>
  <w:num w:numId="6">
    <w:abstractNumId w:val="5"/>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A30"/>
    <w:rsid w:val="00281A30"/>
    <w:rsid w:val="004776D3"/>
    <w:rsid w:val="00585E50"/>
    <w:rsid w:val="00AA44D0"/>
    <w:rsid w:val="00C70911"/>
    <w:rsid w:val="00F47468"/>
    <w:rsid w:val="00FB3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DAFDD7"/>
  <w15:chartTrackingRefBased/>
  <w15:docId w15:val="{722062CE-9CE3-4F46-A972-E5A3A184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nil"/>
        <w:left w:val="nil"/>
        <w:bottom w:val="nil"/>
        <w:right w:val="nil"/>
        <w:between w:val="nil"/>
      </w:pBd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Thompson</dc:creator>
  <cp:keywords/>
  <dc:description/>
  <cp:lastModifiedBy>Elizabeth Thompson</cp:lastModifiedBy>
  <cp:revision>3</cp:revision>
  <dcterms:created xsi:type="dcterms:W3CDTF">2020-11-04T21:12:00Z</dcterms:created>
  <dcterms:modified xsi:type="dcterms:W3CDTF">2020-11-04T21:52:00Z</dcterms:modified>
</cp:coreProperties>
</file>