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3168C" w14:textId="77777777" w:rsidR="00065115" w:rsidRPr="0072204D" w:rsidRDefault="00065115" w:rsidP="00065115">
      <w:pPr>
        <w:pStyle w:val="Title"/>
        <w:spacing w:after="0"/>
        <w:jc w:val="center"/>
        <w:rPr>
          <w:rFonts w:ascii="Times New Roman" w:hAnsi="Times New Roman"/>
        </w:rPr>
      </w:pPr>
      <w:r w:rsidRPr="0072204D">
        <w:rPr>
          <w:rFonts w:ascii="Times New Roman" w:hAnsi="Times New Roman"/>
        </w:rPr>
        <w:t>Progress Report</w:t>
      </w:r>
    </w:p>
    <w:p w14:paraId="5A1CEFBC" w14:textId="21F3C99F" w:rsidR="00065115" w:rsidRPr="0072204D" w:rsidRDefault="009D22B0" w:rsidP="00065115">
      <w:pPr>
        <w:pStyle w:val="Subtitle"/>
        <w:jc w:val="center"/>
        <w:rPr>
          <w:rFonts w:ascii="Times New Roman" w:hAnsi="Times New Roman"/>
        </w:rPr>
      </w:pPr>
      <w:r w:rsidRPr="009D22B0">
        <w:rPr>
          <w:rFonts w:ascii="Times New Roman" w:hAnsi="Times New Roman"/>
          <w:i w:val="0"/>
          <w:iCs w:val="0"/>
          <w:spacing w:val="5"/>
          <w:kern w:val="28"/>
          <w:sz w:val="52"/>
          <w:szCs w:val="52"/>
        </w:rPr>
        <w:t xml:space="preserve">High Resolution Climate Data from Research and Volunteer Observing Ships </w:t>
      </w:r>
    </w:p>
    <w:p w14:paraId="2325D372" w14:textId="77777777" w:rsidR="00065115" w:rsidRPr="0072204D" w:rsidRDefault="00065115" w:rsidP="00065115"/>
    <w:p w14:paraId="7D2D6F36" w14:textId="77777777" w:rsidR="00065115" w:rsidRPr="0072204D" w:rsidRDefault="00065115" w:rsidP="00065115"/>
    <w:p w14:paraId="531070AA" w14:textId="3CDE72A6" w:rsidR="00065115" w:rsidRPr="0072204D" w:rsidRDefault="00065115" w:rsidP="00065115">
      <w:r w:rsidRPr="0072204D">
        <w:t>Per</w:t>
      </w:r>
      <w:r w:rsidR="0072204D" w:rsidRPr="0072204D">
        <w:t>iod of Activity: 01 October 201</w:t>
      </w:r>
      <w:r w:rsidR="000B4A58">
        <w:t>4</w:t>
      </w:r>
      <w:r w:rsidR="00033848" w:rsidRPr="0072204D">
        <w:t xml:space="preserve"> – 30 September 201</w:t>
      </w:r>
      <w:r w:rsidR="000B4A58">
        <w:t>5</w:t>
      </w:r>
    </w:p>
    <w:p w14:paraId="38BF01F3" w14:textId="77777777" w:rsidR="00065115" w:rsidRPr="0072204D" w:rsidRDefault="00065115" w:rsidP="00065115"/>
    <w:p w14:paraId="3CCE5DF7" w14:textId="77777777" w:rsidR="00C85701" w:rsidRDefault="00C85701" w:rsidP="00C85701"/>
    <w:tbl>
      <w:tblPr>
        <w:tblW w:w="0" w:type="auto"/>
        <w:tblLook w:val="04A0" w:firstRow="1" w:lastRow="0" w:firstColumn="1" w:lastColumn="0" w:noHBand="0" w:noVBand="1"/>
      </w:tblPr>
      <w:tblGrid>
        <w:gridCol w:w="3120"/>
        <w:gridCol w:w="15"/>
        <w:gridCol w:w="7"/>
        <w:gridCol w:w="3098"/>
        <w:gridCol w:w="27"/>
        <w:gridCol w:w="1153"/>
        <w:gridCol w:w="1940"/>
      </w:tblGrid>
      <w:tr w:rsidR="00C85701" w:rsidRPr="00FA7DF8" w14:paraId="32E29751" w14:textId="77777777" w:rsidTr="00C85701">
        <w:tc>
          <w:tcPr>
            <w:tcW w:w="3135" w:type="dxa"/>
            <w:gridSpan w:val="2"/>
          </w:tcPr>
          <w:p w14:paraId="53F7AF7C" w14:textId="77777777" w:rsidR="00C85701" w:rsidRPr="00FA7DF8" w:rsidRDefault="00C85701" w:rsidP="00984162">
            <w:pPr>
              <w:rPr>
                <w:b/>
              </w:rPr>
            </w:pPr>
            <w:r w:rsidRPr="00FA7DF8">
              <w:rPr>
                <w:b/>
              </w:rPr>
              <w:t>Principal Investigator</w:t>
            </w:r>
          </w:p>
          <w:p w14:paraId="60141152" w14:textId="77777777" w:rsidR="00C85701" w:rsidRPr="00FA7DF8" w:rsidRDefault="00C85701" w:rsidP="00984162">
            <w:r>
              <w:t>Christopher W. Fairall</w:t>
            </w:r>
          </w:p>
          <w:p w14:paraId="7CE9587E" w14:textId="77777777" w:rsidR="00C85701" w:rsidRDefault="00C85701" w:rsidP="00984162">
            <w:r>
              <w:t>NOAA ESRL/PSD</w:t>
            </w:r>
          </w:p>
          <w:p w14:paraId="1EF4D495" w14:textId="77777777" w:rsidR="00C85701" w:rsidRPr="00FA7DF8" w:rsidRDefault="00C85701" w:rsidP="00984162">
            <w:r>
              <w:t>325 Broadway</w:t>
            </w:r>
          </w:p>
          <w:p w14:paraId="318C26E1" w14:textId="77777777" w:rsidR="00C85701" w:rsidRPr="00FA7DF8" w:rsidRDefault="00C85701" w:rsidP="00984162">
            <w:r>
              <w:t>Boulder, CO 80305</w:t>
            </w:r>
          </w:p>
        </w:tc>
        <w:tc>
          <w:tcPr>
            <w:tcW w:w="4285" w:type="dxa"/>
            <w:gridSpan w:val="4"/>
          </w:tcPr>
          <w:p w14:paraId="68BC5BE7" w14:textId="77777777" w:rsidR="00C85701" w:rsidRPr="00FA7DF8" w:rsidRDefault="00C85701" w:rsidP="00984162">
            <w:pPr>
              <w:rPr>
                <w:b/>
              </w:rPr>
            </w:pPr>
            <w:r w:rsidRPr="00FA7DF8">
              <w:rPr>
                <w:b/>
              </w:rPr>
              <w:t>Financial Contact</w:t>
            </w:r>
          </w:p>
          <w:p w14:paraId="1D1EA8C7" w14:textId="77777777" w:rsidR="00C85701" w:rsidRDefault="00C85701" w:rsidP="00984162">
            <w:r>
              <w:t>Brian Gorton</w:t>
            </w:r>
          </w:p>
          <w:p w14:paraId="3C3D976F" w14:textId="77777777" w:rsidR="00C85701" w:rsidRDefault="00C85701" w:rsidP="00984162">
            <w:r>
              <w:t>NOAA ESRL/PSD</w:t>
            </w:r>
          </w:p>
          <w:p w14:paraId="21E75F8F" w14:textId="77777777" w:rsidR="00C85701" w:rsidRPr="00FA7DF8" w:rsidRDefault="00C85701" w:rsidP="00984162">
            <w:r>
              <w:t>325 Broadway</w:t>
            </w:r>
          </w:p>
          <w:p w14:paraId="4449A972" w14:textId="77777777" w:rsidR="00C85701" w:rsidRDefault="00C85701" w:rsidP="00984162">
            <w:r>
              <w:t>Boulder</w:t>
            </w:r>
            <w:r w:rsidRPr="00FA7DF8">
              <w:t xml:space="preserve">, </w:t>
            </w:r>
            <w:r>
              <w:t>CO 80305</w:t>
            </w:r>
          </w:p>
          <w:p w14:paraId="019EDF67" w14:textId="77777777" w:rsidR="00C85701" w:rsidRDefault="00C85701" w:rsidP="00984162"/>
          <w:p w14:paraId="46ED20CC" w14:textId="77777777" w:rsidR="00C85701" w:rsidRPr="00FA7DF8" w:rsidRDefault="00C85701" w:rsidP="00984162"/>
          <w:p w14:paraId="58F6529A" w14:textId="77777777" w:rsidR="00C85701" w:rsidRPr="00FA7DF8" w:rsidRDefault="00C85701" w:rsidP="00984162"/>
        </w:tc>
        <w:tc>
          <w:tcPr>
            <w:tcW w:w="1940" w:type="dxa"/>
          </w:tcPr>
          <w:p w14:paraId="7CCBD620" w14:textId="77777777" w:rsidR="00C85701" w:rsidRPr="00FA7DF8" w:rsidRDefault="00C85701" w:rsidP="00984162"/>
        </w:tc>
      </w:tr>
      <w:tr w:rsidR="00065115" w:rsidRPr="0072204D" w14:paraId="23C35BDE" w14:textId="77777777" w:rsidTr="00C85701">
        <w:tc>
          <w:tcPr>
            <w:tcW w:w="3142" w:type="dxa"/>
            <w:gridSpan w:val="3"/>
          </w:tcPr>
          <w:p w14:paraId="56AF1A69" w14:textId="77777777" w:rsidR="00065115" w:rsidRPr="0072204D" w:rsidRDefault="00065115" w:rsidP="00065115"/>
          <w:tbl>
            <w:tblPr>
              <w:tblW w:w="0" w:type="auto"/>
              <w:tblBorders>
                <w:top w:val="single" w:sz="4" w:space="0" w:color="000000"/>
                <w:insideH w:val="single" w:sz="4" w:space="0" w:color="000000"/>
              </w:tblBorders>
              <w:tblLook w:val="04A0" w:firstRow="1" w:lastRow="0" w:firstColumn="1" w:lastColumn="0" w:noHBand="0" w:noVBand="1"/>
            </w:tblPr>
            <w:tblGrid>
              <w:gridCol w:w="2126"/>
              <w:gridCol w:w="800"/>
            </w:tblGrid>
            <w:tr w:rsidR="00065115" w:rsidRPr="0072204D" w14:paraId="70A8D90C" w14:textId="77777777">
              <w:tc>
                <w:tcPr>
                  <w:tcW w:w="2155" w:type="dxa"/>
                </w:tcPr>
                <w:p w14:paraId="169510AE" w14:textId="77777777" w:rsidR="00065115" w:rsidRPr="0072204D" w:rsidRDefault="00065115" w:rsidP="00065115">
                  <w:pPr>
                    <w:rPr>
                      <w:sz w:val="18"/>
                      <w:szCs w:val="18"/>
                    </w:rPr>
                  </w:pPr>
                  <w:r w:rsidRPr="0072204D">
                    <w:rPr>
                      <w:sz w:val="18"/>
                      <w:szCs w:val="18"/>
                    </w:rPr>
                    <w:t>Signature</w:t>
                  </w:r>
                </w:p>
              </w:tc>
              <w:tc>
                <w:tcPr>
                  <w:tcW w:w="806" w:type="dxa"/>
                </w:tcPr>
                <w:p w14:paraId="6FAD9137" w14:textId="77777777" w:rsidR="00065115" w:rsidRPr="0072204D" w:rsidRDefault="00065115" w:rsidP="00065115">
                  <w:pPr>
                    <w:rPr>
                      <w:sz w:val="18"/>
                      <w:szCs w:val="18"/>
                    </w:rPr>
                  </w:pPr>
                  <w:r w:rsidRPr="0072204D">
                    <w:rPr>
                      <w:sz w:val="18"/>
                      <w:szCs w:val="18"/>
                    </w:rPr>
                    <w:t>Date</w:t>
                  </w:r>
                </w:p>
              </w:tc>
            </w:tr>
          </w:tbl>
          <w:p w14:paraId="189B9B1F" w14:textId="71A92F5D" w:rsidR="00065115" w:rsidRPr="0072204D" w:rsidRDefault="00324359" w:rsidP="00065115">
            <w:r>
              <w:t xml:space="preserve">   </w:t>
            </w:r>
          </w:p>
        </w:tc>
        <w:tc>
          <w:tcPr>
            <w:tcW w:w="3125" w:type="dxa"/>
            <w:gridSpan w:val="2"/>
          </w:tcPr>
          <w:p w14:paraId="3F9E5494" w14:textId="381F865C" w:rsidR="00065115" w:rsidRDefault="00065115" w:rsidP="00065115">
            <w:pPr>
              <w:pBdr>
                <w:bottom w:val="single" w:sz="12" w:space="1" w:color="auto"/>
              </w:pBdr>
            </w:pPr>
          </w:p>
          <w:p w14:paraId="0A1A134C" w14:textId="153DF731" w:rsidR="00324359" w:rsidRPr="0072204D" w:rsidRDefault="00324359" w:rsidP="00324359">
            <w:pPr>
              <w:rPr>
                <w:sz w:val="18"/>
                <w:szCs w:val="18"/>
              </w:rPr>
            </w:pPr>
            <w:r w:rsidRPr="0072204D">
              <w:rPr>
                <w:sz w:val="18"/>
                <w:szCs w:val="18"/>
              </w:rPr>
              <w:t>Signature</w:t>
            </w:r>
            <w:r>
              <w:rPr>
                <w:sz w:val="18"/>
                <w:szCs w:val="18"/>
              </w:rPr>
              <w:t xml:space="preserve">                                  </w:t>
            </w:r>
            <w:r w:rsidRPr="0072204D">
              <w:rPr>
                <w:sz w:val="18"/>
                <w:szCs w:val="18"/>
              </w:rPr>
              <w:t>Date</w:t>
            </w:r>
          </w:p>
          <w:p w14:paraId="74137225" w14:textId="6EB6FBB6" w:rsidR="00324359" w:rsidRPr="0072204D" w:rsidRDefault="00324359" w:rsidP="00324359">
            <w:pPr>
              <w:rPr>
                <w:sz w:val="18"/>
                <w:szCs w:val="18"/>
              </w:rPr>
            </w:pPr>
          </w:p>
          <w:p w14:paraId="249AAE2F" w14:textId="36713499" w:rsidR="00324359" w:rsidRPr="0072204D" w:rsidRDefault="00324359" w:rsidP="00065115"/>
        </w:tc>
        <w:tc>
          <w:tcPr>
            <w:tcW w:w="3093" w:type="dxa"/>
            <w:gridSpan w:val="2"/>
          </w:tcPr>
          <w:p w14:paraId="5D190435" w14:textId="77777777" w:rsidR="00065115" w:rsidRPr="0072204D" w:rsidRDefault="00065115" w:rsidP="00065115"/>
        </w:tc>
      </w:tr>
      <w:tr w:rsidR="00065115" w:rsidRPr="0072204D" w14:paraId="00695CD2" w14:textId="77777777" w:rsidTr="00C85701">
        <w:tc>
          <w:tcPr>
            <w:tcW w:w="3120" w:type="dxa"/>
          </w:tcPr>
          <w:p w14:paraId="219F7503" w14:textId="77777777" w:rsidR="00065115" w:rsidRPr="0072204D" w:rsidRDefault="00065115" w:rsidP="00C85701"/>
        </w:tc>
        <w:tc>
          <w:tcPr>
            <w:tcW w:w="3120" w:type="dxa"/>
            <w:gridSpan w:val="3"/>
          </w:tcPr>
          <w:p w14:paraId="7D58AD08" w14:textId="77777777" w:rsidR="00065115" w:rsidRPr="0072204D" w:rsidRDefault="00065115" w:rsidP="00065115"/>
        </w:tc>
        <w:tc>
          <w:tcPr>
            <w:tcW w:w="3120" w:type="dxa"/>
            <w:gridSpan w:val="3"/>
          </w:tcPr>
          <w:p w14:paraId="4DF30DE8" w14:textId="77777777" w:rsidR="00065115" w:rsidRPr="0072204D" w:rsidRDefault="00065115" w:rsidP="00065115"/>
        </w:tc>
      </w:tr>
      <w:tr w:rsidR="00065115" w:rsidRPr="0072204D" w14:paraId="2DA9BF39" w14:textId="77777777" w:rsidTr="00C85701">
        <w:tc>
          <w:tcPr>
            <w:tcW w:w="3120" w:type="dxa"/>
          </w:tcPr>
          <w:p w14:paraId="651A881A" w14:textId="77777777" w:rsidR="00065115" w:rsidRPr="0072204D" w:rsidRDefault="00065115" w:rsidP="00065115"/>
        </w:tc>
        <w:tc>
          <w:tcPr>
            <w:tcW w:w="3120" w:type="dxa"/>
            <w:gridSpan w:val="3"/>
          </w:tcPr>
          <w:p w14:paraId="45E446E8" w14:textId="77777777" w:rsidR="00065115" w:rsidRPr="0072204D" w:rsidRDefault="00065115" w:rsidP="00065115"/>
        </w:tc>
        <w:tc>
          <w:tcPr>
            <w:tcW w:w="3120" w:type="dxa"/>
            <w:gridSpan w:val="3"/>
          </w:tcPr>
          <w:p w14:paraId="61810500" w14:textId="77777777" w:rsidR="00065115" w:rsidRPr="0072204D" w:rsidRDefault="00065115" w:rsidP="00065115"/>
        </w:tc>
      </w:tr>
      <w:tr w:rsidR="00065115" w:rsidRPr="0072204D" w14:paraId="1E57C6A7" w14:textId="77777777" w:rsidTr="00C8570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6240" w:type="dxa"/>
        </w:trPr>
        <w:tc>
          <w:tcPr>
            <w:tcW w:w="3120" w:type="dxa"/>
            <w:tcBorders>
              <w:top w:val="nil"/>
              <w:left w:val="nil"/>
              <w:bottom w:val="nil"/>
              <w:right w:val="nil"/>
            </w:tcBorders>
          </w:tcPr>
          <w:p w14:paraId="6419A899" w14:textId="77777777" w:rsidR="00065115" w:rsidRPr="0072204D" w:rsidRDefault="00065115" w:rsidP="00065115">
            <w:pPr>
              <w:rPr>
                <w:b/>
                <w:szCs w:val="20"/>
              </w:rPr>
            </w:pPr>
            <w:r w:rsidRPr="0072204D">
              <w:rPr>
                <w:b/>
                <w:szCs w:val="20"/>
              </w:rPr>
              <w:t>Budget Summary</w:t>
            </w:r>
          </w:p>
          <w:p w14:paraId="4765ECF1" w14:textId="29FFF3C5" w:rsidR="00065115" w:rsidRPr="0072204D" w:rsidRDefault="00033848" w:rsidP="00065115">
            <w:pPr>
              <w:rPr>
                <w:szCs w:val="20"/>
              </w:rPr>
            </w:pPr>
            <w:r w:rsidRPr="0072204D">
              <w:rPr>
                <w:szCs w:val="20"/>
              </w:rPr>
              <w:t>FY 201</w:t>
            </w:r>
            <w:r w:rsidR="008F0991">
              <w:rPr>
                <w:szCs w:val="20"/>
              </w:rPr>
              <w:t>5</w:t>
            </w:r>
            <w:r w:rsidR="00065115" w:rsidRPr="0072204D">
              <w:rPr>
                <w:szCs w:val="20"/>
              </w:rPr>
              <w:t>:</w:t>
            </w:r>
            <w:r w:rsidR="00656341">
              <w:rPr>
                <w:szCs w:val="20"/>
              </w:rPr>
              <w:t xml:space="preserve"> $296,450</w:t>
            </w:r>
          </w:p>
          <w:p w14:paraId="2C3FC0F4" w14:textId="77777777" w:rsidR="00065115" w:rsidRPr="0072204D" w:rsidRDefault="00065115" w:rsidP="00065115">
            <w:pPr>
              <w:rPr>
                <w:sz w:val="20"/>
                <w:szCs w:val="20"/>
              </w:rPr>
            </w:pPr>
          </w:p>
          <w:p w14:paraId="24DA1D98" w14:textId="77777777" w:rsidR="00065115" w:rsidRPr="0072204D" w:rsidRDefault="00065115" w:rsidP="00065115">
            <w:pPr>
              <w:rPr>
                <w:sz w:val="20"/>
                <w:szCs w:val="20"/>
              </w:rPr>
            </w:pPr>
          </w:p>
          <w:p w14:paraId="5EAE1899" w14:textId="77777777" w:rsidR="00065115" w:rsidRPr="0072204D" w:rsidRDefault="00065115" w:rsidP="00065115">
            <w:pPr>
              <w:rPr>
                <w:sz w:val="20"/>
                <w:szCs w:val="20"/>
              </w:rPr>
            </w:pPr>
          </w:p>
          <w:p w14:paraId="57F29141" w14:textId="77777777" w:rsidR="00065115" w:rsidRPr="0072204D" w:rsidRDefault="00065115" w:rsidP="00065115">
            <w:pPr>
              <w:rPr>
                <w:sz w:val="20"/>
                <w:szCs w:val="20"/>
              </w:rPr>
            </w:pPr>
          </w:p>
          <w:p w14:paraId="0FBB4521" w14:textId="77777777" w:rsidR="00065115" w:rsidRPr="0072204D" w:rsidRDefault="00065115" w:rsidP="00065115">
            <w:pPr>
              <w:rPr>
                <w:sz w:val="20"/>
                <w:szCs w:val="20"/>
              </w:rPr>
            </w:pPr>
          </w:p>
        </w:tc>
      </w:tr>
    </w:tbl>
    <w:p w14:paraId="53780D0A" w14:textId="77777777" w:rsidR="00324359" w:rsidRDefault="00324359" w:rsidP="0079726F">
      <w:pPr>
        <w:jc w:val="center"/>
        <w:rPr>
          <w:b/>
          <w:sz w:val="28"/>
        </w:rPr>
      </w:pPr>
    </w:p>
    <w:p w14:paraId="6D8C0775" w14:textId="77777777" w:rsidR="00324359" w:rsidRDefault="00324359">
      <w:pPr>
        <w:rPr>
          <w:b/>
          <w:sz w:val="28"/>
        </w:rPr>
      </w:pPr>
      <w:r>
        <w:rPr>
          <w:b/>
          <w:sz w:val="28"/>
        </w:rPr>
        <w:br w:type="page"/>
      </w:r>
    </w:p>
    <w:p w14:paraId="36748554" w14:textId="77777777" w:rsidR="00865092" w:rsidRDefault="00865092" w:rsidP="00865092">
      <w:pPr>
        <w:pStyle w:val="Title"/>
        <w:spacing w:after="0"/>
        <w:jc w:val="center"/>
        <w:rPr>
          <w:rFonts w:ascii="Times New Roman" w:hAnsi="Times New Roman"/>
          <w:sz w:val="44"/>
          <w:szCs w:val="44"/>
        </w:rPr>
      </w:pPr>
      <w:r w:rsidRPr="006760A8">
        <w:rPr>
          <w:rFonts w:ascii="Times New Roman" w:hAnsi="Times New Roman"/>
          <w:sz w:val="44"/>
          <w:szCs w:val="44"/>
        </w:rPr>
        <w:lastRenderedPageBreak/>
        <w:t>High Resolution Climate Data from Research and Volunteer Observing Ships</w:t>
      </w:r>
    </w:p>
    <w:p w14:paraId="2F2BA63B" w14:textId="77777777" w:rsidR="00865092" w:rsidRPr="006760A8" w:rsidRDefault="00865092" w:rsidP="00865092">
      <w:pPr>
        <w:jc w:val="center"/>
        <w:rPr>
          <w:b/>
          <w:lang w:eastAsia="x-none"/>
        </w:rPr>
      </w:pPr>
      <w:r w:rsidRPr="006760A8">
        <w:rPr>
          <w:b/>
          <w:lang w:eastAsia="x-none"/>
        </w:rPr>
        <w:t>Principal Investigator</w:t>
      </w:r>
    </w:p>
    <w:p w14:paraId="3895008C" w14:textId="77777777" w:rsidR="00865092" w:rsidRPr="006760A8" w:rsidRDefault="00865092" w:rsidP="00865092">
      <w:pPr>
        <w:jc w:val="center"/>
        <w:rPr>
          <w:lang w:eastAsia="x-none"/>
        </w:rPr>
      </w:pPr>
      <w:r w:rsidRPr="006760A8">
        <w:rPr>
          <w:lang w:eastAsia="x-none"/>
        </w:rPr>
        <w:t>Christopher W. Fairall</w:t>
      </w:r>
    </w:p>
    <w:p w14:paraId="4742CFE7" w14:textId="77777777" w:rsidR="00865092" w:rsidRPr="006760A8" w:rsidRDefault="00865092" w:rsidP="00865092">
      <w:pPr>
        <w:jc w:val="center"/>
        <w:rPr>
          <w:lang w:eastAsia="x-none"/>
        </w:rPr>
      </w:pPr>
      <w:r w:rsidRPr="006760A8">
        <w:rPr>
          <w:lang w:eastAsia="x-none"/>
        </w:rPr>
        <w:t>NOAA ESRL/PSD</w:t>
      </w:r>
    </w:p>
    <w:p w14:paraId="692EB0F9" w14:textId="77777777" w:rsidR="00865092" w:rsidRPr="006760A8" w:rsidRDefault="00865092" w:rsidP="00CE5AC4">
      <w:pPr>
        <w:ind w:right="1180"/>
        <w:jc w:val="center"/>
        <w:rPr>
          <w:lang w:eastAsia="x-none"/>
        </w:rPr>
      </w:pPr>
      <w:r w:rsidRPr="006760A8">
        <w:rPr>
          <w:lang w:eastAsia="x-none"/>
        </w:rPr>
        <w:t>325 Broadway</w:t>
      </w:r>
    </w:p>
    <w:p w14:paraId="3F483B6A" w14:textId="77777777" w:rsidR="00865092" w:rsidRPr="006760A8" w:rsidRDefault="00865092" w:rsidP="00865092">
      <w:pPr>
        <w:jc w:val="center"/>
        <w:rPr>
          <w:lang w:eastAsia="x-none"/>
        </w:rPr>
      </w:pPr>
      <w:r w:rsidRPr="006760A8">
        <w:rPr>
          <w:lang w:eastAsia="x-none"/>
        </w:rPr>
        <w:t>Boulder, CO 80305</w:t>
      </w:r>
    </w:p>
    <w:p w14:paraId="38904E7F" w14:textId="77777777" w:rsidR="0079726F" w:rsidRPr="00C25483" w:rsidRDefault="0079726F" w:rsidP="0079726F">
      <w:pPr>
        <w:jc w:val="center"/>
      </w:pPr>
    </w:p>
    <w:p w14:paraId="132042D8" w14:textId="77777777" w:rsidR="0079726F" w:rsidRPr="00C25483" w:rsidRDefault="0079726F" w:rsidP="0079726F">
      <w:pPr>
        <w:rPr>
          <w:b/>
          <w:sz w:val="28"/>
        </w:rPr>
      </w:pPr>
      <w:bookmarkStart w:id="0" w:name="_Toc117258882"/>
      <w:bookmarkStart w:id="1" w:name="_Toc311012727"/>
      <w:bookmarkStart w:id="2" w:name="_Toc311012773"/>
      <w:bookmarkStart w:id="3" w:name="_Toc311012803"/>
      <w:r w:rsidRPr="00C25483">
        <w:rPr>
          <w:b/>
          <w:sz w:val="28"/>
        </w:rPr>
        <w:t>Table of Contents</w:t>
      </w:r>
      <w:bookmarkEnd w:id="0"/>
      <w:bookmarkEnd w:id="1"/>
      <w:bookmarkEnd w:id="2"/>
      <w:bookmarkEnd w:id="3"/>
    </w:p>
    <w:p w14:paraId="57B110BD" w14:textId="77777777" w:rsidR="0079726F" w:rsidRPr="00C25483" w:rsidRDefault="0079726F" w:rsidP="0079726F">
      <w:pPr>
        <w:rPr>
          <w:b/>
          <w:sz w:val="28"/>
        </w:rPr>
      </w:pPr>
    </w:p>
    <w:p w14:paraId="745CD7A9" w14:textId="735F9930" w:rsidR="00324359" w:rsidRDefault="0079726F" w:rsidP="00324359">
      <w:pPr>
        <w:pStyle w:val="TOC1"/>
        <w:rPr>
          <w:rFonts w:asciiTheme="minorHAnsi" w:eastAsiaTheme="minorEastAsia" w:hAnsiTheme="minorHAnsi" w:cstheme="minorBidi"/>
          <w:noProof/>
          <w:lang w:eastAsia="ja-JP"/>
        </w:rPr>
      </w:pPr>
      <w:r w:rsidRPr="00C25483">
        <w:fldChar w:fldCharType="begin"/>
      </w:r>
      <w:r w:rsidRPr="00C25483">
        <w:instrText xml:space="preserve"> TOC \o "1-3" \h \z \u </w:instrText>
      </w:r>
      <w:r w:rsidRPr="00C25483">
        <w:fldChar w:fldCharType="separate"/>
      </w:r>
      <w:r w:rsidR="00324359">
        <w:rPr>
          <w:noProof/>
        </w:rPr>
        <w:t xml:space="preserve">1. </w:t>
      </w:r>
      <w:r w:rsidRPr="005A36D7">
        <w:rPr>
          <w:noProof/>
        </w:rPr>
        <w:t>Project Summary</w:t>
      </w:r>
      <w:r>
        <w:rPr>
          <w:noProof/>
        </w:rPr>
        <w:tab/>
      </w:r>
      <w:r>
        <w:rPr>
          <w:noProof/>
        </w:rPr>
        <w:fldChar w:fldCharType="begin"/>
      </w:r>
      <w:r>
        <w:rPr>
          <w:noProof/>
        </w:rPr>
        <w:instrText xml:space="preserve"> PAGEREF _Toc273610331 \h </w:instrText>
      </w:r>
      <w:r>
        <w:rPr>
          <w:noProof/>
        </w:rPr>
      </w:r>
      <w:r>
        <w:rPr>
          <w:noProof/>
        </w:rPr>
        <w:fldChar w:fldCharType="separate"/>
      </w:r>
      <w:r w:rsidR="00F2385A">
        <w:rPr>
          <w:noProof/>
        </w:rPr>
        <w:t>2</w:t>
      </w:r>
      <w:r>
        <w:rPr>
          <w:noProof/>
        </w:rPr>
        <w:fldChar w:fldCharType="end"/>
      </w:r>
    </w:p>
    <w:p w14:paraId="31B39A9B" w14:textId="3584B628" w:rsidR="00324359" w:rsidRDefault="00324359" w:rsidP="00324359">
      <w:pPr>
        <w:pStyle w:val="TOC1"/>
        <w:rPr>
          <w:rFonts w:asciiTheme="minorHAnsi" w:eastAsiaTheme="minorEastAsia" w:hAnsiTheme="minorHAnsi" w:cstheme="minorBidi"/>
          <w:noProof/>
          <w:lang w:eastAsia="ja-JP"/>
        </w:rPr>
      </w:pPr>
      <w:r>
        <w:rPr>
          <w:noProof/>
        </w:rPr>
        <w:t xml:space="preserve">2. </w:t>
      </w:r>
      <w:r w:rsidR="0079726F">
        <w:rPr>
          <w:noProof/>
        </w:rPr>
        <w:t>Scientific and Observing System Accomplishments</w:t>
      </w:r>
      <w:r w:rsidR="0079726F">
        <w:rPr>
          <w:noProof/>
        </w:rPr>
        <w:tab/>
      </w:r>
      <w:r w:rsidR="0079726F">
        <w:rPr>
          <w:noProof/>
        </w:rPr>
        <w:fldChar w:fldCharType="begin"/>
      </w:r>
      <w:r w:rsidR="0079726F">
        <w:rPr>
          <w:noProof/>
        </w:rPr>
        <w:instrText xml:space="preserve"> PAGEREF _Toc273610332 \h </w:instrText>
      </w:r>
      <w:r w:rsidR="0079726F">
        <w:rPr>
          <w:noProof/>
        </w:rPr>
      </w:r>
      <w:r w:rsidR="0079726F">
        <w:rPr>
          <w:noProof/>
        </w:rPr>
        <w:fldChar w:fldCharType="separate"/>
      </w:r>
      <w:r w:rsidR="00F2385A">
        <w:rPr>
          <w:noProof/>
        </w:rPr>
        <w:t>2</w:t>
      </w:r>
      <w:r w:rsidR="0079726F">
        <w:rPr>
          <w:noProof/>
        </w:rPr>
        <w:fldChar w:fldCharType="end"/>
      </w:r>
    </w:p>
    <w:p w14:paraId="2C04BE3A" w14:textId="46BD39EE" w:rsidR="00324359" w:rsidRDefault="00324359" w:rsidP="00324359">
      <w:pPr>
        <w:pStyle w:val="TOC1"/>
        <w:rPr>
          <w:rFonts w:asciiTheme="minorHAnsi" w:eastAsiaTheme="minorEastAsia" w:hAnsiTheme="minorHAnsi" w:cstheme="minorBidi"/>
          <w:noProof/>
          <w:lang w:eastAsia="ja-JP"/>
        </w:rPr>
      </w:pPr>
      <w:r>
        <w:rPr>
          <w:noProof/>
        </w:rPr>
        <w:t xml:space="preserve">3. </w:t>
      </w:r>
      <w:r w:rsidR="0079726F">
        <w:rPr>
          <w:noProof/>
        </w:rPr>
        <w:t>Outreach and Education</w:t>
      </w:r>
      <w:r w:rsidR="0079726F">
        <w:rPr>
          <w:noProof/>
        </w:rPr>
        <w:tab/>
      </w:r>
      <w:r>
        <w:rPr>
          <w:noProof/>
        </w:rPr>
        <w:t>4</w:t>
      </w:r>
    </w:p>
    <w:p w14:paraId="432344E2" w14:textId="615FA2C8" w:rsidR="0079726F" w:rsidRPr="00324359" w:rsidRDefault="00324359" w:rsidP="00324359">
      <w:pPr>
        <w:pStyle w:val="TOC1"/>
        <w:rPr>
          <w:rFonts w:asciiTheme="minorHAnsi" w:eastAsiaTheme="minorEastAsia" w:hAnsiTheme="minorHAnsi" w:cstheme="minorBidi"/>
          <w:noProof/>
          <w:lang w:eastAsia="ja-JP"/>
        </w:rPr>
      </w:pPr>
      <w:r>
        <w:rPr>
          <w:noProof/>
        </w:rPr>
        <w:t xml:space="preserve">4. </w:t>
      </w:r>
      <w:r w:rsidR="0079726F">
        <w:rPr>
          <w:noProof/>
        </w:rPr>
        <w:t>Publications and Reports</w:t>
      </w:r>
      <w:r w:rsidR="0079726F">
        <w:rPr>
          <w:noProof/>
        </w:rPr>
        <w:tab/>
      </w:r>
      <w:r w:rsidR="0079726F">
        <w:rPr>
          <w:noProof/>
        </w:rPr>
        <w:fldChar w:fldCharType="begin"/>
      </w:r>
      <w:r w:rsidR="0079726F">
        <w:rPr>
          <w:noProof/>
        </w:rPr>
        <w:instrText xml:space="preserve"> PAGEREF _Toc273610334 \h </w:instrText>
      </w:r>
      <w:r w:rsidR="0079726F">
        <w:rPr>
          <w:noProof/>
        </w:rPr>
      </w:r>
      <w:r w:rsidR="0079726F">
        <w:rPr>
          <w:noProof/>
        </w:rPr>
        <w:fldChar w:fldCharType="separate"/>
      </w:r>
      <w:r w:rsidR="00F2385A">
        <w:rPr>
          <w:noProof/>
        </w:rPr>
        <w:t>5</w:t>
      </w:r>
      <w:r w:rsidR="0079726F">
        <w:rPr>
          <w:noProof/>
        </w:rPr>
        <w:fldChar w:fldCharType="end"/>
      </w:r>
    </w:p>
    <w:p w14:paraId="3B16760E" w14:textId="432F92E3" w:rsidR="0079726F" w:rsidRDefault="00324359" w:rsidP="00324359">
      <w:pPr>
        <w:pStyle w:val="TOC2"/>
        <w:rPr>
          <w:rFonts w:asciiTheme="minorHAnsi" w:eastAsiaTheme="minorEastAsia" w:hAnsiTheme="minorHAnsi" w:cstheme="minorBidi"/>
          <w:noProof/>
          <w:lang w:eastAsia="ja-JP"/>
        </w:rPr>
      </w:pPr>
      <w:r>
        <w:rPr>
          <w:noProof/>
        </w:rPr>
        <w:t>4</w:t>
      </w:r>
      <w:r w:rsidR="0079726F">
        <w:rPr>
          <w:noProof/>
        </w:rPr>
        <w:t>.1.</w:t>
      </w:r>
      <w:r w:rsidR="0079726F">
        <w:rPr>
          <w:rFonts w:asciiTheme="minorHAnsi" w:eastAsiaTheme="minorEastAsia" w:hAnsiTheme="minorHAnsi" w:cstheme="minorBidi"/>
          <w:noProof/>
          <w:lang w:eastAsia="ja-JP"/>
        </w:rPr>
        <w:tab/>
      </w:r>
      <w:r w:rsidR="0079726F">
        <w:rPr>
          <w:noProof/>
        </w:rPr>
        <w:t>Publications by Principal Investigators</w:t>
      </w:r>
      <w:r w:rsidR="0079726F">
        <w:rPr>
          <w:noProof/>
        </w:rPr>
        <w:tab/>
      </w:r>
      <w:r w:rsidR="0079726F">
        <w:rPr>
          <w:noProof/>
        </w:rPr>
        <w:fldChar w:fldCharType="begin"/>
      </w:r>
      <w:r w:rsidR="0079726F">
        <w:rPr>
          <w:noProof/>
        </w:rPr>
        <w:instrText xml:space="preserve"> PAGEREF _Toc273610335 \h </w:instrText>
      </w:r>
      <w:r w:rsidR="0079726F">
        <w:rPr>
          <w:noProof/>
        </w:rPr>
      </w:r>
      <w:r w:rsidR="0079726F">
        <w:rPr>
          <w:noProof/>
        </w:rPr>
        <w:fldChar w:fldCharType="separate"/>
      </w:r>
      <w:r w:rsidR="00F2385A">
        <w:rPr>
          <w:noProof/>
        </w:rPr>
        <w:t>6</w:t>
      </w:r>
      <w:r w:rsidR="0079726F">
        <w:rPr>
          <w:noProof/>
        </w:rPr>
        <w:fldChar w:fldCharType="end"/>
      </w:r>
    </w:p>
    <w:p w14:paraId="67BBDCC3" w14:textId="3CA150BC" w:rsidR="0079726F" w:rsidRDefault="00324359" w:rsidP="00324359">
      <w:pPr>
        <w:pStyle w:val="TOC2"/>
        <w:rPr>
          <w:noProof/>
        </w:rPr>
      </w:pPr>
      <w:r>
        <w:rPr>
          <w:noProof/>
        </w:rPr>
        <w:t>4</w:t>
      </w:r>
      <w:r w:rsidR="0079726F">
        <w:rPr>
          <w:noProof/>
        </w:rPr>
        <w:t>.2.</w:t>
      </w:r>
      <w:r w:rsidR="0079726F">
        <w:rPr>
          <w:rFonts w:asciiTheme="minorHAnsi" w:eastAsiaTheme="minorEastAsia" w:hAnsiTheme="minorHAnsi" w:cstheme="minorBidi"/>
          <w:noProof/>
          <w:lang w:eastAsia="ja-JP"/>
        </w:rPr>
        <w:tab/>
      </w:r>
      <w:r w:rsidR="0079726F">
        <w:rPr>
          <w:noProof/>
        </w:rPr>
        <w:t>Other Relevant Publications</w:t>
      </w:r>
      <w:r w:rsidR="0079726F">
        <w:rPr>
          <w:noProof/>
        </w:rPr>
        <w:tab/>
      </w:r>
      <w:r w:rsidR="0079726F">
        <w:rPr>
          <w:noProof/>
        </w:rPr>
        <w:fldChar w:fldCharType="begin"/>
      </w:r>
      <w:r w:rsidR="0079726F">
        <w:rPr>
          <w:noProof/>
        </w:rPr>
        <w:instrText xml:space="preserve"> PAGEREF _Toc273610336 \h </w:instrText>
      </w:r>
      <w:r w:rsidR="0079726F">
        <w:rPr>
          <w:noProof/>
        </w:rPr>
      </w:r>
      <w:r w:rsidR="0079726F">
        <w:rPr>
          <w:noProof/>
        </w:rPr>
        <w:fldChar w:fldCharType="separate"/>
      </w:r>
      <w:r w:rsidR="00F2385A">
        <w:rPr>
          <w:noProof/>
        </w:rPr>
        <w:t>7</w:t>
      </w:r>
      <w:r w:rsidR="0079726F">
        <w:rPr>
          <w:noProof/>
        </w:rPr>
        <w:fldChar w:fldCharType="end"/>
      </w:r>
    </w:p>
    <w:p w14:paraId="34C2E2D5" w14:textId="753EF2F4" w:rsidR="00324359" w:rsidRPr="00324359" w:rsidRDefault="006327BF" w:rsidP="00324359">
      <w:pPr>
        <w:pStyle w:val="TOC1"/>
        <w:rPr>
          <w:rFonts w:asciiTheme="minorHAnsi" w:eastAsiaTheme="minorEastAsia" w:hAnsiTheme="minorHAnsi" w:cstheme="minorBidi"/>
          <w:noProof/>
          <w:lang w:eastAsia="ja-JP"/>
        </w:rPr>
      </w:pPr>
      <w:r>
        <w:rPr>
          <w:noProof/>
        </w:rPr>
        <w:t>5. Slides</w:t>
      </w:r>
      <w:r>
        <w:rPr>
          <w:noProof/>
        </w:rPr>
        <w:tab/>
        <w:t>8</w:t>
      </w:r>
    </w:p>
    <w:p w14:paraId="02D2EAAF" w14:textId="1577995A" w:rsidR="0079726F" w:rsidRPr="00C25483" w:rsidRDefault="0079726F" w:rsidP="0079726F">
      <w:pPr>
        <w:contextualSpacing/>
      </w:pPr>
      <w:r w:rsidRPr="00C25483">
        <w:fldChar w:fldCharType="end"/>
      </w:r>
    </w:p>
    <w:p w14:paraId="7081F843" w14:textId="77777777" w:rsidR="0079726F" w:rsidRDefault="0079726F" w:rsidP="00CE5AC4">
      <w:pPr>
        <w:pStyle w:val="Heading1"/>
        <w:numPr>
          <w:ilvl w:val="0"/>
          <w:numId w:val="18"/>
        </w:numPr>
        <w:tabs>
          <w:tab w:val="left" w:pos="9360"/>
        </w:tabs>
        <w:ind w:left="360"/>
        <w:rPr>
          <w:rFonts w:ascii="Times New Roman" w:hAnsi="Times New Roman"/>
        </w:rPr>
      </w:pPr>
      <w:bookmarkStart w:id="4" w:name="_Toc273610331"/>
      <w:r w:rsidRPr="00C25483">
        <w:rPr>
          <w:rFonts w:ascii="Times New Roman" w:hAnsi="Times New Roman"/>
        </w:rPr>
        <w:t>Project Summary</w:t>
      </w:r>
      <w:bookmarkEnd w:id="4"/>
      <w:r w:rsidRPr="00C25483">
        <w:rPr>
          <w:rFonts w:ascii="Times New Roman" w:hAnsi="Times New Roman"/>
        </w:rPr>
        <w:t xml:space="preserve"> </w:t>
      </w:r>
    </w:p>
    <w:p w14:paraId="451E277D" w14:textId="77777777" w:rsidR="0079726F" w:rsidRPr="00C25483" w:rsidRDefault="0079726F" w:rsidP="0079726F"/>
    <w:p w14:paraId="24810F32" w14:textId="7B3AF109" w:rsidR="00865092" w:rsidRDefault="00B11458" w:rsidP="00865092">
      <w:pPr>
        <w:widowControl w:val="0"/>
      </w:pPr>
      <w:bookmarkStart w:id="5" w:name="_Toc273610332"/>
      <w:r>
        <w:t>ESRL has developed a roving standard flux measuring system to be deployed on research vessels on an opportunistic basis and d</w:t>
      </w:r>
      <w:r w:rsidR="00865092">
        <w:t>irect covariance air-sea flux measurements are performed on severa</w:t>
      </w:r>
      <w:r>
        <w:t>l oceanic cruises each year</w:t>
      </w:r>
      <w:r w:rsidR="00865092">
        <w:t xml:space="preserve">.  This latter task promotes high-quality climate observations from UNOLS and NOAA research vessel fleet and from NOAA Flux Reference Buoys.  Currently, climate data from 31 research vessels are archived at the Shipboard Automated Meteorological and Oceanographic Systems (SAMOS) at Florida State University.  Flux Reference </w:t>
      </w:r>
      <w:proofErr w:type="spellStart"/>
      <w:r w:rsidR="00865092">
        <w:t>Bouy</w:t>
      </w:r>
      <w:proofErr w:type="spellEnd"/>
      <w:r w:rsidR="00865092">
        <w:t xml:space="preserve"> data are available at </w:t>
      </w:r>
      <w:proofErr w:type="spellStart"/>
      <w:r w:rsidR="00865092">
        <w:t>OceanSITES</w:t>
      </w:r>
      <w:proofErr w:type="spellEnd"/>
      <w:r w:rsidR="00865092">
        <w:t xml:space="preserve"> (</w:t>
      </w:r>
      <w:hyperlink r:id="rId8" w:history="1">
        <w:r w:rsidR="00514B51" w:rsidRPr="00096C3B">
          <w:rPr>
            <w:rStyle w:val="Hyperlink"/>
          </w:rPr>
          <w:t>http://www.oceansites.org/</w:t>
        </w:r>
      </w:hyperlink>
      <w:r w:rsidR="00514B51">
        <w:t xml:space="preserve"> </w:t>
      </w:r>
      <w:r w:rsidR="00865092">
        <w:t xml:space="preserve">).   Because buoys and most ships and satellites rely on bulk methods to estimate fluxes, another aspect of this project is the use of direct measurements to improve the NOAA/COARE bulk flux algorithm – a state-of-the-art community resource.  A full suite of direct, inertial-dissipation, and bulk turbulent fluxes of sensible heat, latent heat, and momentum are measured along with IR and solar radiative fluxes, precipitation, and associated bulk meteorological properties. This effort represents a partial transition of research from NOAA’s climate research programs to operations under the Climate Observations Division (COD).  </w:t>
      </w:r>
      <w:r>
        <w:t>To date, c</w:t>
      </w:r>
      <w:r w:rsidR="00865092">
        <w:t xml:space="preserve">ruises have been conducted </w:t>
      </w:r>
      <w:r w:rsidR="00907E48">
        <w:t>on four</w:t>
      </w:r>
      <w:r w:rsidR="000E4301">
        <w:t xml:space="preserve"> NOAA ships, nine</w:t>
      </w:r>
      <w:r w:rsidR="00865092">
        <w:t xml:space="preserve"> UNOLS ships,</w:t>
      </w:r>
      <w:r w:rsidR="000E4301">
        <w:t xml:space="preserve"> four</w:t>
      </w:r>
      <w:r w:rsidR="00907E48">
        <w:t xml:space="preserve"> non-US ships,</w:t>
      </w:r>
      <w:r w:rsidR="00865092">
        <w:t xml:space="preserve"> and one Coast Guard icebreaker to TAO buoys along the 95W and 110W, the PIRATA Northeast Extension (PNE), Indian Ocean RAMA, the Northwest Tropical Atlantic Station (NTAS) reference buoy, and the WHOI Hawaii Ocean Time Series Station (WHOTS) reference buoy. </w:t>
      </w:r>
    </w:p>
    <w:p w14:paraId="0630A4DE" w14:textId="77777777" w:rsidR="00865092" w:rsidRDefault="00865092" w:rsidP="00865092">
      <w:pPr>
        <w:widowControl w:val="0"/>
      </w:pPr>
    </w:p>
    <w:p w14:paraId="133198DD" w14:textId="77777777" w:rsidR="00865092" w:rsidRDefault="00865092" w:rsidP="00865092">
      <w:pPr>
        <w:widowControl w:val="0"/>
      </w:pPr>
      <w:r>
        <w:t xml:space="preserve">The project development is the result of a NOAA-sponsored workshop on high-resolution marine measurements (Smith et al., 2003, </w:t>
      </w:r>
      <w:r>
        <w:rPr>
          <w:i/>
        </w:rPr>
        <w:t>Report and Recommendations from the Workshop on High-Resolution Marine Meteorology</w:t>
      </w:r>
      <w:r>
        <w:t xml:space="preserve">, COAPS Report 03-01, Florida State University, pp38) which identified three important issues with the planned NOAA air-sea observation system: 1) the need </w:t>
      </w:r>
      <w:r>
        <w:lastRenderedPageBreak/>
        <w:t>for a data quality assurance program to firmly establish that the observations meet the accuracy requirements, 2) the need for observations at high time resolution (about 1 minute) and, 3)  the need to more efficiently utilize research vessels, including realizing their potential for the highest quality data and their potential to provide more direct and comprehensive observations.  A second aspect of this project involves direct measurement and parameterization (gas transfer versions of the NOAA COARE model) of sea-air exchange of trace gases.   For seasonal time scales, the net air-sea flux (sum of 5 flux components) must be constrained within 10 Wm</w:t>
      </w:r>
      <w:r>
        <w:rPr>
          <w:vertAlign w:val="superscript"/>
        </w:rPr>
        <w:t>-2</w:t>
      </w:r>
      <w:r>
        <w:t xml:space="preserve">.  Buoys and VOS systems are required to operate virtually unattended for months, so considerations of practical issues (e.g., power availability, instrument ruggedness, safe access, etc.) are balanced against inherent sensor accuracy and optimal sensor placement.  As discussed above, an important function of the </w:t>
      </w:r>
      <w:r w:rsidRPr="00E64C14">
        <w:rPr>
          <w:i/>
        </w:rPr>
        <w:t>in situ</w:t>
      </w:r>
      <w:r>
        <w:t xml:space="preserve"> measurements is to provide validation data to improve NWP and satellite flux fields.  High time resolution and more direct observations are invaluable for interpreting surface flux measurements and diagnosing the source of disagreements --such information can be provided by suitably equipped research vessels (R/V). Thus, the accuracy of buoy and VOS observations must be improved and supplemented with high-quality, high time resolution measurements from the US R/V fleet (which is presently under-utilized).  The necessity for both high time resolution and high accuracy places extreme demands on measurements because some sources of error (such as the effect of ship flow distortion on wind speed) tend to average out over a large sample.  To accomplish this requires a careful </w:t>
      </w:r>
      <w:proofErr w:type="spellStart"/>
      <w:r>
        <w:t>intercomparison</w:t>
      </w:r>
      <w:proofErr w:type="spellEnd"/>
      <w:r>
        <w:t xml:space="preserve"> program to provide traceability of buoy, VOS, and RV accuracy to a set of standards.</w:t>
      </w:r>
    </w:p>
    <w:p w14:paraId="70C2234F" w14:textId="77777777" w:rsidR="00865092" w:rsidRDefault="00865092" w:rsidP="00865092">
      <w:pPr>
        <w:widowControl w:val="0"/>
      </w:pPr>
    </w:p>
    <w:p w14:paraId="62D18369" w14:textId="39642683" w:rsidR="00865092" w:rsidRDefault="00865092" w:rsidP="00865092">
      <w:pPr>
        <w:widowControl w:val="0"/>
      </w:pPr>
      <w:r>
        <w:t xml:space="preserve">This project directly addresses the need for accurate measures of air-sea exchange in the  </w:t>
      </w:r>
      <w:r w:rsidR="00134F10">
        <w:rPr>
          <w:i/>
        </w:rPr>
        <w:t xml:space="preserve">COD Strategic Plan, </w:t>
      </w:r>
      <w:r w:rsidR="00134F10">
        <w:t xml:space="preserve">specifically </w:t>
      </w:r>
      <w:r w:rsidR="00134F10" w:rsidRPr="00134F10">
        <w:rPr>
          <w:u w:val="single"/>
        </w:rPr>
        <w:t>Observing Systems, Climate Monitoring, and Data Stewardship</w:t>
      </w:r>
      <w:r w:rsidR="00134F10">
        <w:t xml:space="preserve"> (Section 2.14</w:t>
      </w:r>
      <w:r>
        <w:t>)</w:t>
      </w:r>
      <w:r w:rsidR="00134F10">
        <w:t xml:space="preserve"> and </w:t>
      </w:r>
      <w:r w:rsidR="00134F10" w:rsidRPr="00134F10">
        <w:rPr>
          <w:u w:val="single"/>
        </w:rPr>
        <w:t>Understanding and Modeling</w:t>
      </w:r>
      <w:r w:rsidR="00134F10">
        <w:t xml:space="preserve"> (Sections 2.20 and 2.21)</w:t>
      </w:r>
      <w:r>
        <w:t xml:space="preserve">, and it is a joint effort by ESRL and Dr. Robert Weller of the Woods Hole Oceanographic Institution (WHOI).  The ESRL Air-Sea Interaction Group website can be found at </w:t>
      </w:r>
      <w:hyperlink r:id="rId9" w:history="1">
        <w:r w:rsidRPr="00E832B5">
          <w:rPr>
            <w:rStyle w:val="Hyperlink"/>
          </w:rPr>
          <w:t>http://www.esrl.noaa.gov/psd/psd3/air-sea/</w:t>
        </w:r>
      </w:hyperlink>
      <w:r>
        <w:t xml:space="preserve"> .  ESRL also cooperates with Dr. Frank Bradley (CSIRO, Canberra Australia) on precipitation and radiative flux observations, Dr. Meghan Cronin (NOAA PMEL) on buoy-ship </w:t>
      </w:r>
      <w:proofErr w:type="spellStart"/>
      <w:r>
        <w:t>intercomparisons</w:t>
      </w:r>
      <w:proofErr w:type="spellEnd"/>
      <w:r>
        <w:t xml:space="preserve"> and climate variability analysis, and Dr. Wade </w:t>
      </w:r>
      <w:proofErr w:type="spellStart"/>
      <w:r>
        <w:t>McGillis</w:t>
      </w:r>
      <w:proofErr w:type="spellEnd"/>
      <w:r>
        <w:t xml:space="preserve"> (Univ. Columbia) on gas fluxes.  A project website has been established (High Resolution Climate Observations </w:t>
      </w:r>
      <w:hyperlink r:id="rId10" w:history="1">
        <w:r w:rsidRPr="00723345">
          <w:rPr>
            <w:rStyle w:val="Hyperlink"/>
          </w:rPr>
          <w:t>http://www.esrl.noaa.gov/psd/psd3/air-sea/oceanobs/</w:t>
        </w:r>
      </w:hyperlink>
      <w:r>
        <w:t xml:space="preserve"> ).  An associated website (</w:t>
      </w:r>
      <w:hyperlink r:id="rId11" w:history="1">
        <w:r w:rsidRPr="00723345">
          <w:rPr>
            <w:rStyle w:val="Hyperlink"/>
          </w:rPr>
          <w:t>http://www.esrl.noaa.gov/psd/psd3/wgsf/</w:t>
        </w:r>
      </w:hyperlink>
      <w:r>
        <w:t xml:space="preserve"> ) contains a handbook on best practices for flux measurements plus a database of high-resolution flux data.  This gives the project high visibility in the CLIVAR, GEWEX, and SOLAS programs.  This project is managed in cooperation with JCOMM.</w:t>
      </w:r>
    </w:p>
    <w:p w14:paraId="1AAB3AC6" w14:textId="77777777" w:rsidR="00865092" w:rsidRDefault="00865092" w:rsidP="00865092">
      <w:pPr>
        <w:widowControl w:val="0"/>
      </w:pPr>
    </w:p>
    <w:p w14:paraId="35FA796C" w14:textId="77777777" w:rsidR="00865092" w:rsidRDefault="00865092" w:rsidP="00865092">
      <w:pPr>
        <w:widowControl w:val="0"/>
      </w:pPr>
      <w:r>
        <w:t xml:space="preserve">Users of the data and parameterizations from this project include numerous individual collaborators (J. Edson at UConn, B. </w:t>
      </w:r>
      <w:proofErr w:type="spellStart"/>
      <w:r>
        <w:t>Huebert</w:t>
      </w:r>
      <w:proofErr w:type="spellEnd"/>
      <w:r>
        <w:t xml:space="preserve"> at U. Hawaii, B. Ward at </w:t>
      </w:r>
      <w:smartTag w:uri="urn:schemas-microsoft-com:office:smarttags" w:element="place">
        <w:r>
          <w:t>Galway</w:t>
        </w:r>
      </w:smartTag>
      <w:r>
        <w:t xml:space="preserve">, M. Bourassa at FSU, W. </w:t>
      </w:r>
      <w:proofErr w:type="spellStart"/>
      <w:r>
        <w:t>McGillis</w:t>
      </w:r>
      <w:proofErr w:type="spellEnd"/>
      <w:r>
        <w:t xml:space="preserve"> at LDEO, F. Bradley at CSIRO, M. Cronin at PMEL, R. </w:t>
      </w:r>
      <w:proofErr w:type="spellStart"/>
      <w:r>
        <w:t>Wanninkhof</w:t>
      </w:r>
      <w:proofErr w:type="spellEnd"/>
      <w:r>
        <w:t xml:space="preserve"> at AOML, R. Weller at WHOI, A. </w:t>
      </w:r>
      <w:proofErr w:type="spellStart"/>
      <w:r>
        <w:t>Beljaars</w:t>
      </w:r>
      <w:proofErr w:type="spellEnd"/>
      <w:r>
        <w:t xml:space="preserve"> at ECMWF) and many projects/programs worldwide (SAMOS, GOSUD, </w:t>
      </w:r>
      <w:proofErr w:type="spellStart"/>
      <w:r>
        <w:t>SeaFlux</w:t>
      </w:r>
      <w:proofErr w:type="spellEnd"/>
      <w:r>
        <w:t xml:space="preserve">, USGCRP, WCRP, SOLAS, SURFA, </w:t>
      </w:r>
      <w:proofErr w:type="spellStart"/>
      <w:r>
        <w:t>OceanSITES</w:t>
      </w:r>
      <w:proofErr w:type="spellEnd"/>
      <w:r>
        <w:t xml:space="preserve">, CLIVAR, VOCALS, UNOLS, TAO).  Specific applications include global model algorithm development and </w:t>
      </w:r>
      <w:proofErr w:type="spellStart"/>
      <w:r>
        <w:t>intercomparison</w:t>
      </w:r>
      <w:proofErr w:type="spellEnd"/>
      <w:r>
        <w:t xml:space="preserve">, satellite product </w:t>
      </w:r>
      <w:proofErr w:type="spellStart"/>
      <w:r>
        <w:t>intercomparison</w:t>
      </w:r>
      <w:proofErr w:type="spellEnd"/>
      <w:r>
        <w:t xml:space="preserve">, </w:t>
      </w:r>
      <w:r w:rsidRPr="0061160A">
        <w:rPr>
          <w:i/>
        </w:rPr>
        <w:t>in situ</w:t>
      </w:r>
      <w:r>
        <w:t xml:space="preserve"> (buoy and ship) </w:t>
      </w:r>
      <w:proofErr w:type="spellStart"/>
      <w:r>
        <w:t>intercomparison</w:t>
      </w:r>
      <w:proofErr w:type="spellEnd"/>
      <w:r>
        <w:t xml:space="preserve"> studies, application of the NOAA/COARE model for flux parameterization, and improved climate observation capabilities</w:t>
      </w:r>
    </w:p>
    <w:p w14:paraId="6511069D" w14:textId="77777777" w:rsidR="00865092" w:rsidRPr="00CB2C10" w:rsidRDefault="00865092" w:rsidP="00865092">
      <w:pPr>
        <w:rPr>
          <w:b/>
          <w:sz w:val="22"/>
        </w:rPr>
      </w:pPr>
    </w:p>
    <w:p w14:paraId="5937A1D4" w14:textId="77777777" w:rsidR="00865092" w:rsidRDefault="00865092" w:rsidP="00865092">
      <w:pPr>
        <w:widowControl w:val="0"/>
      </w:pPr>
    </w:p>
    <w:p w14:paraId="484D1017" w14:textId="77777777" w:rsidR="0079726F" w:rsidRPr="00324359" w:rsidRDefault="0079726F" w:rsidP="00640647">
      <w:pPr>
        <w:pStyle w:val="Heading1"/>
        <w:numPr>
          <w:ilvl w:val="0"/>
          <w:numId w:val="8"/>
        </w:numPr>
        <w:rPr>
          <w:rFonts w:ascii="Times New Roman" w:hAnsi="Times New Roman"/>
        </w:rPr>
      </w:pPr>
      <w:r w:rsidRPr="00324359">
        <w:rPr>
          <w:rFonts w:ascii="Times New Roman" w:hAnsi="Times New Roman"/>
        </w:rPr>
        <w:t>Scientific and Observing System Accomplishments</w:t>
      </w:r>
      <w:bookmarkEnd w:id="5"/>
    </w:p>
    <w:p w14:paraId="4F6F2A21" w14:textId="77777777" w:rsidR="0079726F" w:rsidRPr="00C25483" w:rsidRDefault="0079726F" w:rsidP="0079726F">
      <w:pPr>
        <w:rPr>
          <w:sz w:val="22"/>
        </w:rPr>
      </w:pPr>
    </w:p>
    <w:p w14:paraId="403FD00F" w14:textId="77777777" w:rsidR="00865092" w:rsidRDefault="00865092" w:rsidP="00865092">
      <w:pPr>
        <w:widowControl w:val="0"/>
      </w:pPr>
      <w:bookmarkStart w:id="6" w:name="_Toc273610333"/>
      <w:r>
        <w:t xml:space="preserve">This project principally addresses the Climate Observation and Monitoring Program deliverables for improved observations of </w:t>
      </w:r>
      <w:r w:rsidRPr="0061160A">
        <w:rPr>
          <w:b/>
        </w:rPr>
        <w:t>Air-Sea Exchange</w:t>
      </w:r>
      <w:r>
        <w:t xml:space="preserve"> and </w:t>
      </w:r>
      <w:r>
        <w:rPr>
          <w:b/>
        </w:rPr>
        <w:t>Ocean Carbon Uptake and Content</w:t>
      </w:r>
      <w:r>
        <w:t xml:space="preserve">.  </w:t>
      </w:r>
    </w:p>
    <w:p w14:paraId="6B1D96DB" w14:textId="77777777" w:rsidR="00865092" w:rsidRDefault="00865092" w:rsidP="00865092"/>
    <w:p w14:paraId="69312D5E" w14:textId="0F5AA0BD" w:rsidR="00865092" w:rsidRDefault="00865092" w:rsidP="00865092">
      <w:r>
        <w:t>All tasks/milestones detailed in the work plan for 201</w:t>
      </w:r>
      <w:r w:rsidR="008F0991">
        <w:t>5</w:t>
      </w:r>
      <w:r>
        <w:t xml:space="preserve"> were addressed.</w:t>
      </w:r>
    </w:p>
    <w:p w14:paraId="1EA658E0" w14:textId="77777777" w:rsidR="00865092" w:rsidRDefault="00865092" w:rsidP="00865092"/>
    <w:p w14:paraId="1BF5F6E3" w14:textId="3ECCC1B9" w:rsidR="00EC0114" w:rsidRDefault="007E3638" w:rsidP="001A5214">
      <w:pPr>
        <w:pStyle w:val="WPDefaults"/>
        <w:widowControl/>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36"/>
          <w:tab w:val="left" w:pos="416"/>
          <w:tab w:val="left" w:pos="2970"/>
          <w:tab w:val="left" w:pos="3690"/>
          <w:tab w:val="left" w:pos="3960"/>
          <w:tab w:val="left" w:pos="6030"/>
        </w:tabs>
        <w:rPr>
          <w:szCs w:val="20"/>
        </w:rPr>
      </w:pPr>
      <w:r>
        <w:t>*Four</w:t>
      </w:r>
      <w:r w:rsidR="00865092">
        <w:t xml:space="preserve"> field deployments of the PSD flux system.  </w:t>
      </w:r>
      <w:r w:rsidR="00EC0114">
        <w:t>The full PSD flux system</w:t>
      </w:r>
      <w:r w:rsidR="00B11458">
        <w:t xml:space="preserve"> (Fig. 1)</w:t>
      </w:r>
      <w:r w:rsidR="00EC0114">
        <w:t xml:space="preserve"> was de</w:t>
      </w:r>
      <w:r w:rsidR="000E52D0">
        <w:t xml:space="preserve">ployed on </w:t>
      </w:r>
      <w:r w:rsidR="00A90FFF">
        <w:rPr>
          <w:szCs w:val="20"/>
        </w:rPr>
        <w:t>a major two</w:t>
      </w:r>
      <w:r w:rsidR="00EC0114" w:rsidRPr="00ED045D">
        <w:rPr>
          <w:szCs w:val="20"/>
        </w:rPr>
        <w:t xml:space="preserve">-leg cruise on the </w:t>
      </w:r>
      <w:r w:rsidR="000E4301">
        <w:rPr>
          <w:szCs w:val="20"/>
        </w:rPr>
        <w:t xml:space="preserve">NOAA </w:t>
      </w:r>
      <w:r w:rsidR="00A90FFF" w:rsidRPr="000E4301">
        <w:rPr>
          <w:szCs w:val="20"/>
        </w:rPr>
        <w:t>R/V</w:t>
      </w:r>
      <w:r w:rsidR="00A90FFF">
        <w:rPr>
          <w:i/>
          <w:szCs w:val="20"/>
        </w:rPr>
        <w:t xml:space="preserve"> Ronald H. Brown</w:t>
      </w:r>
      <w:r w:rsidR="00A90FFF">
        <w:rPr>
          <w:szCs w:val="20"/>
        </w:rPr>
        <w:t xml:space="preserve"> during the CALWATER2 cruise, January-February 2015.  This interagency-funded </w:t>
      </w:r>
      <w:r w:rsidR="00EC0114" w:rsidRPr="00ED045D">
        <w:rPr>
          <w:szCs w:val="20"/>
        </w:rPr>
        <w:t>campaign is</w:t>
      </w:r>
      <w:r w:rsidR="00A23F19">
        <w:rPr>
          <w:szCs w:val="20"/>
        </w:rPr>
        <w:t xml:space="preserve"> a</w:t>
      </w:r>
      <w:r w:rsidR="00EC0114" w:rsidRPr="00ED045D">
        <w:rPr>
          <w:szCs w:val="20"/>
        </w:rPr>
        <w:t xml:space="preserve"> </w:t>
      </w:r>
      <w:r w:rsidR="00A90FFF">
        <w:rPr>
          <w:szCs w:val="20"/>
        </w:rPr>
        <w:t xml:space="preserve">study of so-called atmospheric rivers (AR) and their effects on precipitation on the US West coast. </w:t>
      </w:r>
      <w:r w:rsidR="00815A64">
        <w:rPr>
          <w:szCs w:val="20"/>
        </w:rPr>
        <w:t>The</w:t>
      </w:r>
      <w:r w:rsidR="00B11458">
        <w:rPr>
          <w:szCs w:val="20"/>
        </w:rPr>
        <w:t xml:space="preserve"> cruise track is shown in Fig. 2</w:t>
      </w:r>
      <w:r w:rsidR="00815A64">
        <w:rPr>
          <w:szCs w:val="20"/>
        </w:rPr>
        <w:t xml:space="preserve">.  </w:t>
      </w:r>
      <w:r w:rsidR="00865092">
        <w:rPr>
          <w:szCs w:val="20"/>
        </w:rPr>
        <w:t>Th</w:t>
      </w:r>
      <w:r w:rsidR="00865092" w:rsidRPr="00ED045D">
        <w:rPr>
          <w:szCs w:val="20"/>
        </w:rPr>
        <w:t xml:space="preserve">e roving standard </w:t>
      </w:r>
      <w:r w:rsidR="00865092">
        <w:rPr>
          <w:szCs w:val="20"/>
        </w:rPr>
        <w:t>was d</w:t>
      </w:r>
      <w:r w:rsidR="00865092" w:rsidRPr="00ED045D">
        <w:rPr>
          <w:szCs w:val="20"/>
        </w:rPr>
        <w:t>eploy</w:t>
      </w:r>
      <w:r w:rsidR="00EC0114">
        <w:rPr>
          <w:szCs w:val="20"/>
        </w:rPr>
        <w:t xml:space="preserve">ed </w:t>
      </w:r>
      <w:r w:rsidR="00865092" w:rsidRPr="00ED045D">
        <w:rPr>
          <w:szCs w:val="20"/>
        </w:rPr>
        <w:t>on the</w:t>
      </w:r>
      <w:r w:rsidR="00865092">
        <w:rPr>
          <w:szCs w:val="20"/>
        </w:rPr>
        <w:t xml:space="preserve"> </w:t>
      </w:r>
      <w:r w:rsidR="00A90FFF">
        <w:rPr>
          <w:szCs w:val="20"/>
        </w:rPr>
        <w:t xml:space="preserve">Chilean R/V </w:t>
      </w:r>
      <w:r w:rsidRPr="007E3638">
        <w:rPr>
          <w:i/>
          <w:szCs w:val="20"/>
        </w:rPr>
        <w:t xml:space="preserve">Cabo de </w:t>
      </w:r>
      <w:proofErr w:type="spellStart"/>
      <w:r w:rsidRPr="007E3638">
        <w:rPr>
          <w:i/>
          <w:szCs w:val="20"/>
        </w:rPr>
        <w:t>Hornos</w:t>
      </w:r>
      <w:proofErr w:type="spellEnd"/>
      <w:r>
        <w:rPr>
          <w:szCs w:val="20"/>
        </w:rPr>
        <w:t xml:space="preserve"> in April 2015 for the Straus cruise and on </w:t>
      </w:r>
      <w:r w:rsidR="00865092">
        <w:rPr>
          <w:szCs w:val="20"/>
        </w:rPr>
        <w:t>NOAA</w:t>
      </w:r>
      <w:r w:rsidR="00865092" w:rsidRPr="00ED045D">
        <w:rPr>
          <w:szCs w:val="20"/>
        </w:rPr>
        <w:t xml:space="preserve"> </w:t>
      </w:r>
      <w:r w:rsidR="00865092" w:rsidRPr="006B0D3A">
        <w:rPr>
          <w:szCs w:val="20"/>
        </w:rPr>
        <w:t>R/V</w:t>
      </w:r>
      <w:r w:rsidR="00865092" w:rsidRPr="0067660E">
        <w:rPr>
          <w:rFonts w:eastAsia="Calibri"/>
          <w:color w:val="000000"/>
        </w:rPr>
        <w:t xml:space="preserve"> </w:t>
      </w:r>
      <w:proofErr w:type="spellStart"/>
      <w:r w:rsidR="00865092" w:rsidRPr="0067660E">
        <w:rPr>
          <w:rFonts w:ascii="Times" w:hAnsi="Times"/>
          <w:i/>
        </w:rPr>
        <w:t>Hi`ialakai</w:t>
      </w:r>
      <w:proofErr w:type="spellEnd"/>
      <w:r w:rsidR="00A90FFF">
        <w:rPr>
          <w:rFonts w:ascii="Times" w:hAnsi="Times"/>
        </w:rPr>
        <w:t xml:space="preserve"> in July 2015</w:t>
      </w:r>
      <w:r w:rsidR="00EC0114">
        <w:rPr>
          <w:rFonts w:ascii="Times" w:hAnsi="Times"/>
        </w:rPr>
        <w:t xml:space="preserve"> </w:t>
      </w:r>
      <w:r w:rsidR="00865092" w:rsidRPr="00ED045D">
        <w:rPr>
          <w:szCs w:val="20"/>
        </w:rPr>
        <w:t xml:space="preserve">for the WHOTS </w:t>
      </w:r>
      <w:r w:rsidR="00EC0114">
        <w:rPr>
          <w:szCs w:val="20"/>
        </w:rPr>
        <w:t>201</w:t>
      </w:r>
      <w:r w:rsidR="000E4301">
        <w:rPr>
          <w:szCs w:val="20"/>
        </w:rPr>
        <w:t>5</w:t>
      </w:r>
      <w:r w:rsidR="00865092">
        <w:rPr>
          <w:szCs w:val="20"/>
        </w:rPr>
        <w:t xml:space="preserve"> </w:t>
      </w:r>
      <w:r w:rsidR="00865092" w:rsidRPr="00ED045D">
        <w:rPr>
          <w:szCs w:val="20"/>
        </w:rPr>
        <w:t>buoy redeployment cruise</w:t>
      </w:r>
      <w:r w:rsidR="00865092">
        <w:rPr>
          <w:szCs w:val="20"/>
        </w:rPr>
        <w:t xml:space="preserve">.  </w:t>
      </w:r>
      <w:r>
        <w:rPr>
          <w:szCs w:val="20"/>
        </w:rPr>
        <w:t xml:space="preserve">In September the newly constructed PSD Arctic-hardened roving flux system was deployed on R/V </w:t>
      </w:r>
      <w:proofErr w:type="spellStart"/>
      <w:r w:rsidRPr="007E3638">
        <w:rPr>
          <w:i/>
          <w:szCs w:val="20"/>
        </w:rPr>
        <w:t>Sikuliaq</w:t>
      </w:r>
      <w:proofErr w:type="spellEnd"/>
      <w:r>
        <w:rPr>
          <w:szCs w:val="20"/>
        </w:rPr>
        <w:t xml:space="preserve"> for a 45 day cruise in the</w:t>
      </w:r>
      <w:r w:rsidR="00865092">
        <w:rPr>
          <w:szCs w:val="20"/>
        </w:rPr>
        <w:t xml:space="preserve"> </w:t>
      </w:r>
      <w:r>
        <w:rPr>
          <w:szCs w:val="20"/>
        </w:rPr>
        <w:t>Beaufort Sea</w:t>
      </w:r>
      <w:r w:rsidR="00326A5A">
        <w:rPr>
          <w:szCs w:val="20"/>
        </w:rPr>
        <w:t xml:space="preserve"> (Fig. 3)</w:t>
      </w:r>
      <w:r>
        <w:rPr>
          <w:szCs w:val="20"/>
        </w:rPr>
        <w:t xml:space="preserve">.  </w:t>
      </w:r>
      <w:r w:rsidR="001A5214">
        <w:rPr>
          <w:szCs w:val="20"/>
        </w:rPr>
        <w:t>This project</w:t>
      </w:r>
      <w:r w:rsidR="00865092">
        <w:rPr>
          <w:szCs w:val="20"/>
        </w:rPr>
        <w:t xml:space="preserve"> </w:t>
      </w:r>
      <w:r w:rsidR="00326A5A">
        <w:rPr>
          <w:szCs w:val="20"/>
        </w:rPr>
        <w:t xml:space="preserve">will </w:t>
      </w:r>
      <w:r w:rsidR="00865092">
        <w:rPr>
          <w:szCs w:val="20"/>
        </w:rPr>
        <w:t>yield valuable data in the critical but much</w:t>
      </w:r>
      <w:r w:rsidR="001A5214">
        <w:rPr>
          <w:szCs w:val="20"/>
        </w:rPr>
        <w:t xml:space="preserve"> </w:t>
      </w:r>
      <w:proofErr w:type="spellStart"/>
      <w:r w:rsidR="00865092">
        <w:rPr>
          <w:szCs w:val="20"/>
        </w:rPr>
        <w:t>undersampled</w:t>
      </w:r>
      <w:proofErr w:type="spellEnd"/>
      <w:r w:rsidR="00865092">
        <w:rPr>
          <w:szCs w:val="20"/>
        </w:rPr>
        <w:t xml:space="preserve"> high latitude </w:t>
      </w:r>
      <w:r>
        <w:rPr>
          <w:szCs w:val="20"/>
        </w:rPr>
        <w:t>region (Bourassa et al. 2013) of the Arctic.</w:t>
      </w:r>
    </w:p>
    <w:p w14:paraId="3F81888B" w14:textId="77777777" w:rsidR="001A5214" w:rsidRDefault="001A5214" w:rsidP="001A5214">
      <w:pPr>
        <w:pStyle w:val="WPDefaults"/>
        <w:widowControl/>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36"/>
          <w:tab w:val="left" w:pos="416"/>
          <w:tab w:val="left" w:pos="2970"/>
          <w:tab w:val="left" w:pos="3690"/>
          <w:tab w:val="left" w:pos="3960"/>
          <w:tab w:val="left" w:pos="6030"/>
        </w:tabs>
        <w:rPr>
          <w:szCs w:val="20"/>
        </w:rPr>
      </w:pPr>
    </w:p>
    <w:p w14:paraId="62595556" w14:textId="62D2E2D8" w:rsidR="00865092" w:rsidRDefault="00865092" w:rsidP="00865092">
      <w:pPr>
        <w:widowControl w:val="0"/>
        <w:rPr>
          <w:rFonts w:eastAsia="Times New Roman"/>
          <w:szCs w:val="20"/>
        </w:rPr>
      </w:pPr>
      <w:r>
        <w:rPr>
          <w:rFonts w:eastAsia="Times New Roman"/>
          <w:szCs w:val="20"/>
        </w:rPr>
        <w:t>*</w:t>
      </w:r>
      <w:r w:rsidRPr="00687F5E">
        <w:rPr>
          <w:rFonts w:eastAsia="Times New Roman"/>
          <w:szCs w:val="20"/>
        </w:rPr>
        <w:t xml:space="preserve"> </w:t>
      </w:r>
      <w:r>
        <w:rPr>
          <w:rFonts w:eastAsia="Times New Roman"/>
          <w:szCs w:val="20"/>
        </w:rPr>
        <w:t>We</w:t>
      </w:r>
      <w:r w:rsidRPr="00ED045D">
        <w:rPr>
          <w:rFonts w:eastAsia="Times New Roman"/>
          <w:szCs w:val="20"/>
        </w:rPr>
        <w:t xml:space="preserve"> continue</w:t>
      </w:r>
      <w:r>
        <w:rPr>
          <w:rFonts w:eastAsia="Times New Roman"/>
          <w:szCs w:val="20"/>
        </w:rPr>
        <w:t>d</w:t>
      </w:r>
      <w:r w:rsidRPr="00ED045D">
        <w:rPr>
          <w:rFonts w:eastAsia="Times New Roman"/>
          <w:szCs w:val="20"/>
        </w:rPr>
        <w:t xml:space="preserve"> our cooperation with Dr. </w:t>
      </w:r>
      <w:proofErr w:type="spellStart"/>
      <w:r w:rsidRPr="00ED045D">
        <w:rPr>
          <w:rFonts w:eastAsia="Times New Roman"/>
          <w:szCs w:val="20"/>
        </w:rPr>
        <w:t>Huai</w:t>
      </w:r>
      <w:proofErr w:type="spellEnd"/>
      <w:r w:rsidRPr="00ED045D">
        <w:rPr>
          <w:rFonts w:eastAsia="Times New Roman"/>
          <w:szCs w:val="20"/>
        </w:rPr>
        <w:t>-Min Zhang of NOAA NCDC on the Surface Flux Analysis (SURFA) project (</w:t>
      </w:r>
      <w:hyperlink r:id="rId12" w:history="1">
        <w:r w:rsidRPr="00ED045D">
          <w:rPr>
            <w:rFonts w:eastAsia="Times New Roman"/>
            <w:color w:val="0000FF"/>
            <w:szCs w:val="20"/>
            <w:u w:val="single"/>
          </w:rPr>
          <w:t>http://www.ncdc.noaa.gov/oa/rsad/air-sea/surfa.html</w:t>
        </w:r>
      </w:hyperlink>
      <w:r w:rsidRPr="00ED045D">
        <w:rPr>
          <w:rFonts w:eastAsia="Times New Roman"/>
          <w:szCs w:val="20"/>
        </w:rPr>
        <w:t xml:space="preserve">).  </w:t>
      </w:r>
      <w:r>
        <w:rPr>
          <w:rFonts w:eastAsia="Times New Roman"/>
          <w:szCs w:val="20"/>
        </w:rPr>
        <w:t xml:space="preserve">We have started to work on the topic of improving/validating various global flux products as highlighted at the recent </w:t>
      </w:r>
      <w:r w:rsidRPr="002A043D">
        <w:rPr>
          <w:bCs/>
          <w:i/>
        </w:rPr>
        <w:t>CLIVAR-GSOP Ocean Synthesis and Air-Sea flux evaluation Workshop</w:t>
      </w:r>
      <w:r w:rsidR="00A23F19">
        <w:rPr>
          <w:bCs/>
        </w:rPr>
        <w:t>.  Initially we focused</w:t>
      </w:r>
      <w:r>
        <w:rPr>
          <w:bCs/>
        </w:rPr>
        <w:t xml:space="preserve"> on surface flux fields for th</w:t>
      </w:r>
      <w:r w:rsidR="000E4301">
        <w:rPr>
          <w:bCs/>
        </w:rPr>
        <w:t>e DYNAMO field program.  Last year we</w:t>
      </w:r>
      <w:r>
        <w:rPr>
          <w:bCs/>
        </w:rPr>
        <w:t xml:space="preserve"> collaborated with Dr. </w:t>
      </w:r>
      <w:proofErr w:type="spellStart"/>
      <w:r>
        <w:rPr>
          <w:bCs/>
        </w:rPr>
        <w:t>Lisan</w:t>
      </w:r>
      <w:proofErr w:type="spellEnd"/>
      <w:r>
        <w:rPr>
          <w:bCs/>
        </w:rPr>
        <w:t xml:space="preserve"> Yu (WHOI </w:t>
      </w:r>
      <w:proofErr w:type="spellStart"/>
      <w:r>
        <w:rPr>
          <w:bCs/>
        </w:rPr>
        <w:t>OAFlux</w:t>
      </w:r>
      <w:proofErr w:type="spellEnd"/>
      <w:r>
        <w:rPr>
          <w:bCs/>
        </w:rPr>
        <w:t xml:space="preserve"> product) to produce a flux field time series for the entire DYNAMO study period using 4 different turbulence and 4 different radiation products</w:t>
      </w:r>
      <w:r w:rsidR="00A76513">
        <w:rPr>
          <w:bCs/>
        </w:rPr>
        <w:t>.</w:t>
      </w:r>
      <w:r w:rsidR="00277EF3">
        <w:rPr>
          <w:bCs/>
        </w:rPr>
        <w:t xml:space="preserve">  We have continued this work, doing comparisons of the </w:t>
      </w:r>
      <w:proofErr w:type="spellStart"/>
      <w:r w:rsidR="00277EF3">
        <w:rPr>
          <w:bCs/>
        </w:rPr>
        <w:t>OAFlux</w:t>
      </w:r>
      <w:proofErr w:type="spellEnd"/>
      <w:r w:rsidR="00277EF3">
        <w:rPr>
          <w:bCs/>
        </w:rPr>
        <w:t xml:space="preserve"> product with fluxes measured off California in the CALWATER2 project</w:t>
      </w:r>
      <w:r w:rsidR="00326A5A">
        <w:rPr>
          <w:bCs/>
        </w:rPr>
        <w:t xml:space="preserve"> (see below)</w:t>
      </w:r>
      <w:r w:rsidR="00277EF3">
        <w:rPr>
          <w:bCs/>
        </w:rPr>
        <w:t>.</w:t>
      </w:r>
      <w:r w:rsidR="00A76513">
        <w:rPr>
          <w:bCs/>
        </w:rPr>
        <w:t xml:space="preserve">  </w:t>
      </w:r>
    </w:p>
    <w:p w14:paraId="5706128B" w14:textId="41C9A419" w:rsidR="008D71BD" w:rsidRDefault="00277EF3" w:rsidP="00865092">
      <w:pPr>
        <w:pStyle w:val="NormalWeb"/>
        <w:rPr>
          <w:szCs w:val="20"/>
        </w:rPr>
      </w:pPr>
      <w:r>
        <w:rPr>
          <w:szCs w:val="20"/>
        </w:rPr>
        <w:t>In 2015</w:t>
      </w:r>
      <w:r w:rsidR="00053F9C">
        <w:rPr>
          <w:szCs w:val="20"/>
        </w:rPr>
        <w:t xml:space="preserve"> we saw </w:t>
      </w:r>
      <w:r w:rsidR="00865092">
        <w:rPr>
          <w:szCs w:val="20"/>
        </w:rPr>
        <w:t xml:space="preserve">significant scientific accomplishments as noted through major publications and synthesis efforts.  </w:t>
      </w:r>
      <w:r w:rsidR="00053F9C">
        <w:rPr>
          <w:szCs w:val="20"/>
        </w:rPr>
        <w:t xml:space="preserve">This included </w:t>
      </w:r>
      <w:r>
        <w:rPr>
          <w:szCs w:val="20"/>
        </w:rPr>
        <w:t>improvements</w:t>
      </w:r>
      <w:r w:rsidR="00865092">
        <w:rPr>
          <w:szCs w:val="20"/>
        </w:rPr>
        <w:t xml:space="preserve"> made in the direct measurement of sea-air fluxes </w:t>
      </w:r>
      <w:r>
        <w:rPr>
          <w:szCs w:val="20"/>
        </w:rPr>
        <w:t xml:space="preserve">including </w:t>
      </w:r>
      <w:r w:rsidR="00053F9C">
        <w:rPr>
          <w:szCs w:val="20"/>
        </w:rPr>
        <w:t xml:space="preserve">trace gases and new </w:t>
      </w:r>
      <w:r w:rsidR="00865092">
        <w:rPr>
          <w:szCs w:val="20"/>
        </w:rPr>
        <w:t>release</w:t>
      </w:r>
      <w:r w:rsidR="00053F9C">
        <w:rPr>
          <w:szCs w:val="20"/>
        </w:rPr>
        <w:t>s</w:t>
      </w:r>
      <w:r w:rsidR="00865092">
        <w:rPr>
          <w:szCs w:val="20"/>
        </w:rPr>
        <w:t xml:space="preserve"> of the NOAA COARE </w:t>
      </w:r>
      <w:proofErr w:type="spellStart"/>
      <w:r>
        <w:rPr>
          <w:szCs w:val="20"/>
        </w:rPr>
        <w:t>seaspray</w:t>
      </w:r>
      <w:proofErr w:type="spellEnd"/>
      <w:r>
        <w:rPr>
          <w:szCs w:val="20"/>
        </w:rPr>
        <w:t xml:space="preserve"> </w:t>
      </w:r>
      <w:r w:rsidR="00865092">
        <w:rPr>
          <w:szCs w:val="20"/>
        </w:rPr>
        <w:t xml:space="preserve">flux </w:t>
      </w:r>
      <w:r w:rsidR="00053F9C">
        <w:rPr>
          <w:szCs w:val="20"/>
        </w:rPr>
        <w:t>algorithm</w:t>
      </w:r>
      <w:r w:rsidR="00865092">
        <w:rPr>
          <w:szCs w:val="20"/>
        </w:rPr>
        <w:t xml:space="preserve">.   </w:t>
      </w:r>
      <w:proofErr w:type="spellStart"/>
      <w:r w:rsidR="00865092">
        <w:rPr>
          <w:szCs w:val="20"/>
        </w:rPr>
        <w:t>Matlab</w:t>
      </w:r>
      <w:proofErr w:type="spellEnd"/>
      <w:r w:rsidR="00865092">
        <w:rPr>
          <w:szCs w:val="20"/>
        </w:rPr>
        <w:t xml:space="preserve"> </w:t>
      </w:r>
      <w:r>
        <w:rPr>
          <w:szCs w:val="20"/>
        </w:rPr>
        <w:t>scripts of version 12</w:t>
      </w:r>
      <w:r w:rsidR="00865092">
        <w:rPr>
          <w:szCs w:val="20"/>
        </w:rPr>
        <w:t xml:space="preserve"> are available at: </w:t>
      </w:r>
      <w:hyperlink r:id="rId13" w:history="1">
        <w:r w:rsidRPr="00096C3B">
          <w:rPr>
            <w:rStyle w:val="Hyperlink"/>
            <w:szCs w:val="20"/>
          </w:rPr>
          <w:t>ftp://ftp1.esrl.noaa.gov/users/cfairall/onr_droplet/parameterization/version12/</w:t>
        </w:r>
      </w:hyperlink>
      <w:r>
        <w:rPr>
          <w:szCs w:val="20"/>
        </w:rPr>
        <w:t xml:space="preserve"> </w:t>
      </w:r>
      <w:r w:rsidR="00865092">
        <w:rPr>
          <w:szCs w:val="20"/>
        </w:rPr>
        <w:t>.</w:t>
      </w:r>
      <w:r w:rsidR="00053F9C">
        <w:rPr>
          <w:szCs w:val="20"/>
        </w:rPr>
        <w:t xml:space="preserve">  </w:t>
      </w:r>
    </w:p>
    <w:p w14:paraId="63D2F202" w14:textId="5BFD6640" w:rsidR="00C61935" w:rsidRDefault="00C61935" w:rsidP="00865092">
      <w:pPr>
        <w:pStyle w:val="NormalWeb"/>
        <w:rPr>
          <w:szCs w:val="20"/>
        </w:rPr>
      </w:pPr>
      <w:r>
        <w:rPr>
          <w:szCs w:val="20"/>
        </w:rPr>
        <w:t xml:space="preserve">Another accomplishment was the development of a new version of the PSD flux system that is hardened for harsh polar environments (see Fig. 3).  </w:t>
      </w:r>
      <w:r w:rsidR="00D70ED4">
        <w:rPr>
          <w:szCs w:val="20"/>
        </w:rPr>
        <w:t>This was done in response to inc</w:t>
      </w:r>
      <w:r w:rsidR="000E4301">
        <w:rPr>
          <w:szCs w:val="20"/>
        </w:rPr>
        <w:t>reased NOAA interest</w:t>
      </w:r>
      <w:r w:rsidR="00D70ED4">
        <w:rPr>
          <w:szCs w:val="20"/>
        </w:rPr>
        <w:t xml:space="preserve"> in Arctic climate processes.  The changes</w:t>
      </w:r>
      <w:r>
        <w:rPr>
          <w:szCs w:val="20"/>
        </w:rPr>
        <w:t xml:space="preserve"> principally consist</w:t>
      </w:r>
      <w:r w:rsidR="00D70ED4">
        <w:rPr>
          <w:szCs w:val="20"/>
        </w:rPr>
        <w:t xml:space="preserve"> of</w:t>
      </w:r>
      <w:r>
        <w:rPr>
          <w:szCs w:val="20"/>
        </w:rPr>
        <w:t xml:space="preserve"> replacing previous sensor technology with heated models to combat freezing sea spray, fog, or rime-ice growth plus the ability to operate at near-saturation relative humidity</w:t>
      </w:r>
      <w:r w:rsidR="00D70ED4">
        <w:rPr>
          <w:szCs w:val="20"/>
        </w:rPr>
        <w:t xml:space="preserve"> and very low temperatures</w:t>
      </w:r>
      <w:r>
        <w:rPr>
          <w:szCs w:val="20"/>
        </w:rPr>
        <w:t>.  We have been also working ice-resistance radiative flux sensors, but that has not been completed.</w:t>
      </w:r>
    </w:p>
    <w:p w14:paraId="55144B4E" w14:textId="6905D981" w:rsidR="001A5214" w:rsidRDefault="00277EF3" w:rsidP="00865092">
      <w:pPr>
        <w:widowControl w:val="0"/>
        <w:rPr>
          <w:szCs w:val="20"/>
        </w:rPr>
      </w:pPr>
      <w:r>
        <w:rPr>
          <w:szCs w:val="20"/>
        </w:rPr>
        <w:t>In 2015</w:t>
      </w:r>
      <w:r w:rsidR="008D71BD">
        <w:rPr>
          <w:szCs w:val="20"/>
        </w:rPr>
        <w:t xml:space="preserve"> one major </w:t>
      </w:r>
      <w:r>
        <w:rPr>
          <w:szCs w:val="20"/>
        </w:rPr>
        <w:t xml:space="preserve">accomplishment was analysis of </w:t>
      </w:r>
      <w:r w:rsidR="00053F9C">
        <w:rPr>
          <w:szCs w:val="20"/>
        </w:rPr>
        <w:t xml:space="preserve">new observations </w:t>
      </w:r>
      <w:r w:rsidR="00326A5A">
        <w:rPr>
          <w:szCs w:val="20"/>
        </w:rPr>
        <w:t xml:space="preserve">from the N. Pacific storm track (CALWATER2) and comparisons with the WHOI </w:t>
      </w:r>
      <w:proofErr w:type="spellStart"/>
      <w:r w:rsidR="00326A5A">
        <w:rPr>
          <w:szCs w:val="20"/>
        </w:rPr>
        <w:t>OAFlux</w:t>
      </w:r>
      <w:proofErr w:type="spellEnd"/>
      <w:r w:rsidR="00326A5A">
        <w:rPr>
          <w:szCs w:val="20"/>
        </w:rPr>
        <w:t xml:space="preserve"> product. An example </w:t>
      </w:r>
      <w:r w:rsidR="00BB7B30">
        <w:rPr>
          <w:szCs w:val="20"/>
        </w:rPr>
        <w:t xml:space="preserve">of </w:t>
      </w:r>
      <w:r w:rsidR="00BB7B30">
        <w:rPr>
          <w:szCs w:val="20"/>
        </w:rPr>
        <w:lastRenderedPageBreak/>
        <w:t xml:space="preserve">preliminary results </w:t>
      </w:r>
      <w:r w:rsidR="00326A5A">
        <w:rPr>
          <w:szCs w:val="20"/>
        </w:rPr>
        <w:t>is shown in Fig. 4, where sensible and latent heat fluxes are shown.  The flux product does a good job of capturing the predominantly stable conditions (negative sensible heat flux); there appears to be a low bias in the product for latent heat flux in the core of the atmospheric river.</w:t>
      </w:r>
      <w:r w:rsidR="00D70ED4">
        <w:rPr>
          <w:szCs w:val="20"/>
        </w:rPr>
        <w:t xml:space="preserve">  Fig. 5 shows an example of the </w:t>
      </w:r>
      <w:proofErr w:type="spellStart"/>
      <w:r w:rsidR="00D70ED4">
        <w:rPr>
          <w:szCs w:val="20"/>
        </w:rPr>
        <w:t>OAFLux</w:t>
      </w:r>
      <w:proofErr w:type="spellEnd"/>
      <w:r w:rsidR="00D70ED4">
        <w:rPr>
          <w:szCs w:val="20"/>
        </w:rPr>
        <w:t xml:space="preserve"> field for a day during CALWATER2 when an AR is present.  </w:t>
      </w:r>
      <w:r w:rsidR="000E4301">
        <w:rPr>
          <w:szCs w:val="20"/>
        </w:rPr>
        <w:t xml:space="preserve">The AR is visible as the SW to NE band of high U10 values.  Notice that the latent heat flux become much smaller north of about 32 deg. Latitude where warm air advection </w:t>
      </w:r>
      <w:r w:rsidR="00AA09B5">
        <w:rPr>
          <w:szCs w:val="20"/>
        </w:rPr>
        <w:t xml:space="preserve">over increasing cooler water </w:t>
      </w:r>
      <w:r w:rsidR="000E4301">
        <w:rPr>
          <w:szCs w:val="20"/>
        </w:rPr>
        <w:t>is suppressing the turbulent exchange.</w:t>
      </w:r>
      <w:r w:rsidR="00BB7B30">
        <w:rPr>
          <w:szCs w:val="20"/>
        </w:rPr>
        <w:t xml:space="preserve"> </w:t>
      </w:r>
    </w:p>
    <w:p w14:paraId="6FA9220E" w14:textId="77777777" w:rsidR="00277EF3" w:rsidRDefault="00277EF3" w:rsidP="00865092">
      <w:pPr>
        <w:widowControl w:val="0"/>
        <w:rPr>
          <w:szCs w:val="20"/>
        </w:rPr>
      </w:pPr>
      <w:bookmarkStart w:id="7" w:name="_GoBack"/>
    </w:p>
    <w:bookmarkEnd w:id="7"/>
    <w:p w14:paraId="3D4A29E7" w14:textId="7A38B673" w:rsidR="00865092" w:rsidRDefault="00865092" w:rsidP="00865092">
      <w:pPr>
        <w:widowControl w:val="0"/>
      </w:pPr>
      <w:r>
        <w:t>We</w:t>
      </w:r>
      <w:r w:rsidR="0035382D">
        <w:t xml:space="preserve"> currently</w:t>
      </w:r>
      <w:r>
        <w:t xml:space="preserve"> do not have a data management plan</w:t>
      </w:r>
      <w:r w:rsidR="0035382D">
        <w:t xml:space="preserve"> but a plan will be completed in FY16.  O</w:t>
      </w:r>
      <w:r>
        <w:t>ur project is compliant with NOAA guidelines.  Field processed data summaries for each cruise are transmitted at the end of the day to our ftp site (</w:t>
      </w:r>
      <w:hyperlink r:id="rId14" w:history="1">
        <w:r w:rsidRPr="00C77EC4">
          <w:rPr>
            <w:rStyle w:val="Hyperlink"/>
          </w:rPr>
          <w:t>ftp://ftp1.esrl.noaa.gov/psd3/cruises/</w:t>
        </w:r>
      </w:hyperlink>
      <w:r>
        <w:t xml:space="preserve"> ) with cruise-specific directories – these are publically available.  For example, images of the various flux time series as posted in </w:t>
      </w:r>
      <w:proofErr w:type="spellStart"/>
      <w:r>
        <w:t>realtime</w:t>
      </w:r>
      <w:proofErr w:type="spellEnd"/>
      <w:r>
        <w:t xml:space="preserve"> (daily) for the recent WHOTS cruise can be seen at:</w:t>
      </w:r>
    </w:p>
    <w:p w14:paraId="6136483A" w14:textId="20FEA7D0" w:rsidR="00865092" w:rsidRDefault="00573916" w:rsidP="00865092">
      <w:pPr>
        <w:widowControl w:val="0"/>
      </w:pPr>
      <w:hyperlink r:id="rId15" w:history="1">
        <w:r w:rsidR="00EA5D31" w:rsidRPr="00251618">
          <w:rPr>
            <w:rStyle w:val="Hyperlink"/>
          </w:rPr>
          <w:t>ftp://ftp1.esrl.noaa.gov/psd3/cruises/WHOTS_2014/Hiialakai/flux/Raw_Images/</w:t>
        </w:r>
      </w:hyperlink>
      <w:r w:rsidR="00865092">
        <w:t xml:space="preserve"> </w:t>
      </w:r>
    </w:p>
    <w:p w14:paraId="7A7DB395" w14:textId="77777777" w:rsidR="00865092" w:rsidRDefault="00865092" w:rsidP="00865092">
      <w:pPr>
        <w:widowControl w:val="0"/>
      </w:pPr>
      <w:r>
        <w:t>and daily processed ASCII files are available at</w:t>
      </w:r>
    </w:p>
    <w:p w14:paraId="435F4527" w14:textId="6448B36C" w:rsidR="00865092" w:rsidRDefault="00573916" w:rsidP="00865092">
      <w:pPr>
        <w:widowControl w:val="0"/>
      </w:pPr>
      <w:hyperlink r:id="rId16" w:history="1">
        <w:r w:rsidR="00EA5D31" w:rsidRPr="00251618">
          <w:rPr>
            <w:rStyle w:val="Hyperlink"/>
          </w:rPr>
          <w:t>ftp://ftp1.esrl.noaa.gov/psd3/cruises/WHOTS_2014/Hiialakai/flux/Processed/</w:t>
        </w:r>
      </w:hyperlink>
    </w:p>
    <w:p w14:paraId="38ECC3E8" w14:textId="77777777" w:rsidR="00865092" w:rsidRDefault="00865092" w:rsidP="00865092">
      <w:pPr>
        <w:widowControl w:val="0"/>
      </w:pPr>
      <w:r>
        <w:t xml:space="preserve">The full raw time series is added after the cruise.  Updates after </w:t>
      </w:r>
      <w:proofErr w:type="spellStart"/>
      <w:r>
        <w:t>postprocessing</w:t>
      </w:r>
      <w:proofErr w:type="spellEnd"/>
      <w:r>
        <w:t xml:space="preserve"> are posted as they become available.  </w:t>
      </w:r>
    </w:p>
    <w:p w14:paraId="4FB5D6DE" w14:textId="77777777" w:rsidR="0079726F" w:rsidRPr="00324359" w:rsidRDefault="0079726F" w:rsidP="0079726F">
      <w:pPr>
        <w:pStyle w:val="Heading1"/>
        <w:numPr>
          <w:ilvl w:val="0"/>
          <w:numId w:val="8"/>
        </w:numPr>
        <w:rPr>
          <w:rFonts w:ascii="Times New Roman" w:hAnsi="Times New Roman"/>
        </w:rPr>
      </w:pPr>
      <w:r w:rsidRPr="00324359">
        <w:rPr>
          <w:rFonts w:ascii="Times New Roman" w:hAnsi="Times New Roman"/>
        </w:rPr>
        <w:t>Outreach and Education</w:t>
      </w:r>
      <w:bookmarkEnd w:id="6"/>
    </w:p>
    <w:p w14:paraId="0E00DB11" w14:textId="77777777" w:rsidR="0079726F" w:rsidRPr="00C25483" w:rsidRDefault="0079726F" w:rsidP="0079726F"/>
    <w:p w14:paraId="60C11AEA" w14:textId="4CF4CD26" w:rsidR="00BE2F99" w:rsidRDefault="00BE2F99" w:rsidP="00BE2F99">
      <w:bookmarkStart w:id="8" w:name="_Toc311012807"/>
      <w:bookmarkStart w:id="9" w:name="_Toc273610334"/>
      <w:r>
        <w:t xml:space="preserve">Our group is engaged in a variety of outreach/education activities under this project.  The range of activities includes lectures for middle and high school science teachers (done through the CIRES outreach office </w:t>
      </w:r>
      <w:hyperlink r:id="rId17" w:history="1">
        <w:r w:rsidR="005E7A61" w:rsidRPr="00096C3B">
          <w:rPr>
            <w:rStyle w:val="Hyperlink"/>
          </w:rPr>
          <w:t>http://cires.colorado.edu/education-outreach/projects/past-projects/cosee/</w:t>
        </w:r>
      </w:hyperlink>
      <w:r w:rsidR="005E7A61">
        <w:t xml:space="preserve"> </w:t>
      </w:r>
      <w:r>
        <w:t>), judging at local science fairs and the annual National Ocean Science Bowl competition (regional level held at CU in Boulder), and hosting Teachers in the Lab and or Teachers at Sea.</w:t>
      </w:r>
      <w:r w:rsidR="00D81FB0">
        <w:t xml:space="preserve">  </w:t>
      </w:r>
      <w:r>
        <w:t xml:space="preserve"> Currently the PI (C. Fairall)</w:t>
      </w:r>
      <w:r w:rsidR="005E7A61">
        <w:t xml:space="preserve"> is on the PhD committee of two</w:t>
      </w:r>
      <w:r w:rsidR="00D81FB0">
        <w:t xml:space="preserve"> </w:t>
      </w:r>
      <w:r w:rsidR="00907E48">
        <w:t>studen</w:t>
      </w:r>
      <w:r w:rsidR="005E7A61">
        <w:t>t</w:t>
      </w:r>
      <w:r>
        <w:t xml:space="preserve"> at University</w:t>
      </w:r>
      <w:r w:rsidR="00907E48">
        <w:t xml:space="preserve"> of Colorado (</w:t>
      </w:r>
      <w:proofErr w:type="spellStart"/>
      <w:r w:rsidR="00907E48">
        <w:t>Bariteau</w:t>
      </w:r>
      <w:proofErr w:type="spellEnd"/>
      <w:r w:rsidR="00D81FB0">
        <w:t xml:space="preserve"> and </w:t>
      </w:r>
      <w:proofErr w:type="spellStart"/>
      <w:r w:rsidR="00D81FB0">
        <w:t>DuVivier</w:t>
      </w:r>
      <w:proofErr w:type="spellEnd"/>
      <w:r>
        <w:t>) and one at Colorado St</w:t>
      </w:r>
      <w:r w:rsidR="00907E48">
        <w:t xml:space="preserve">ate University (Thompson).  </w:t>
      </w:r>
      <w:r w:rsidR="00D81FB0">
        <w:t xml:space="preserve">Two other students received PhD’s in 2014.  </w:t>
      </w:r>
      <w:r w:rsidR="00907E48">
        <w:t xml:space="preserve">Check out </w:t>
      </w:r>
      <w:proofErr w:type="spellStart"/>
      <w:r w:rsidR="00907E48">
        <w:t>Ludovic</w:t>
      </w:r>
      <w:proofErr w:type="spellEnd"/>
      <w:r w:rsidR="00907E48">
        <w:t xml:space="preserve"> </w:t>
      </w:r>
      <w:proofErr w:type="spellStart"/>
      <w:r w:rsidR="00907E48">
        <w:t>Bariteau’</w:t>
      </w:r>
      <w:r>
        <w:t>s</w:t>
      </w:r>
      <w:proofErr w:type="spellEnd"/>
      <w:r>
        <w:t xml:space="preserve">  extensive blog for the </w:t>
      </w:r>
      <w:proofErr w:type="spellStart"/>
      <w:r>
        <w:t>HiWinGS</w:t>
      </w:r>
      <w:proofErr w:type="spellEnd"/>
      <w:r>
        <w:t xml:space="preserve"> project </w:t>
      </w:r>
      <w:hyperlink r:id="rId18" w:history="1">
        <w:r w:rsidRPr="00277221">
          <w:rPr>
            <w:rStyle w:val="Hyperlink"/>
          </w:rPr>
          <w:t>http://cires.colorado.edu/blogs/airseagas/</w:t>
        </w:r>
      </w:hyperlink>
      <w:r>
        <w:t xml:space="preserve"> .</w:t>
      </w:r>
    </w:p>
    <w:p w14:paraId="6B327C3D" w14:textId="77777777" w:rsidR="00BE2F99" w:rsidRDefault="00BE2F99" w:rsidP="00BE2F99"/>
    <w:p w14:paraId="0AD52C52" w14:textId="44AF66FD" w:rsidR="00BE2F99" w:rsidRDefault="00EA5D31" w:rsidP="00BE2F99">
      <w:r>
        <w:t>In 2011</w:t>
      </w:r>
      <w:r w:rsidR="002C1E84">
        <w:t xml:space="preserve"> Dan Wolfe</w:t>
      </w:r>
      <w:r w:rsidR="00BE2F99">
        <w:t xml:space="preserve"> started developing a hands-on short course on methods, techniques, and instruments for meteorological observations from ships (done in cooperation with Shawn Smith at FSU) intended for seagoing </w:t>
      </w:r>
      <w:proofErr w:type="spellStart"/>
      <w:r w:rsidR="00BE2F99">
        <w:t>MetTechs</w:t>
      </w:r>
      <w:proofErr w:type="spellEnd"/>
      <w:r w:rsidR="00BE2F99">
        <w:t xml:space="preserve">.  The inaugural course was presented at the </w:t>
      </w:r>
      <w:proofErr w:type="spellStart"/>
      <w:r w:rsidR="00BE2F99">
        <w:t>RVTech</w:t>
      </w:r>
      <w:proofErr w:type="spellEnd"/>
      <w:r w:rsidR="00BE2F99">
        <w:t xml:space="preserve"> meeting in New Orleans in Dec. 2011.  A second training for NOAA ship techs was held at Newport, OR in January, 2012; the third was Newport again in January, 2013; the fourth in Norfolk, VA, 2014</w:t>
      </w:r>
      <w:r w:rsidR="00A4759B">
        <w:t xml:space="preserve">, the fifth in </w:t>
      </w:r>
      <w:proofErr w:type="spellStart"/>
      <w:r w:rsidR="00A4759B">
        <w:t>Co</w:t>
      </w:r>
      <w:r w:rsidR="00AE57F5">
        <w:t>r</w:t>
      </w:r>
      <w:r w:rsidR="00326A5A">
        <w:t>v</w:t>
      </w:r>
      <w:r w:rsidR="00A4759B">
        <w:t>alis</w:t>
      </w:r>
      <w:proofErr w:type="spellEnd"/>
      <w:r w:rsidR="00A4759B">
        <w:t xml:space="preserve"> in November 2014.</w:t>
      </w:r>
      <w:r>
        <w:t xml:space="preserve">  Course materials are available at </w:t>
      </w:r>
      <w:hyperlink r:id="rId19" w:history="1">
        <w:r w:rsidR="005E7A61" w:rsidRPr="00096C3B">
          <w:rPr>
            <w:rStyle w:val="Hyperlink"/>
          </w:rPr>
          <w:t>ftp://ftp1.esrl.noaa.gov/users/cfairall/outreach/</w:t>
        </w:r>
      </w:hyperlink>
      <w:r w:rsidR="005E7A61">
        <w:t xml:space="preserve"> </w:t>
      </w:r>
      <w:r>
        <w:t>.</w:t>
      </w:r>
    </w:p>
    <w:p w14:paraId="2F11F884" w14:textId="77777777" w:rsidR="00BE2F99" w:rsidRDefault="00BE2F99" w:rsidP="00BE2F99"/>
    <w:p w14:paraId="0EF4545C" w14:textId="335F3ED2" w:rsidR="00BE2F99" w:rsidRDefault="00BE2F99" w:rsidP="00BE2F99">
      <w:r>
        <w:t xml:space="preserve">A third aspect of PSD outreach is in the form of technology transfer of our flux observation methods to other research entities.  In the past we have transferred designs, methods, and software to other universities and laboratories around the work.  Recent examples are University of Hawaii and University of Galway (Ireland).  We are presently developing a relationship with Korean Polar Research Institute (KOPRI) to aid them in deploying a full seagoing flux capability on their new icebreaker (R/V </w:t>
      </w:r>
      <w:proofErr w:type="spellStart"/>
      <w:r w:rsidRPr="00BA64AC">
        <w:rPr>
          <w:i/>
        </w:rPr>
        <w:t>Ar</w:t>
      </w:r>
      <w:r>
        <w:rPr>
          <w:i/>
        </w:rPr>
        <w:t>a</w:t>
      </w:r>
      <w:r w:rsidRPr="00BA64AC">
        <w:rPr>
          <w:i/>
        </w:rPr>
        <w:t>on</w:t>
      </w:r>
      <w:proofErr w:type="spellEnd"/>
      <w:r>
        <w:t xml:space="preserve">).  Another example – C. Fairall is on the science advisory panel for the new University of Alaska research vessel (R/V </w:t>
      </w:r>
      <w:proofErr w:type="spellStart"/>
      <w:r w:rsidRPr="00BA64AC">
        <w:rPr>
          <w:i/>
        </w:rPr>
        <w:t>Sikuliaq</w:t>
      </w:r>
      <w:proofErr w:type="spellEnd"/>
      <w:r>
        <w:t xml:space="preserve">) that is currently </w:t>
      </w:r>
      <w:r w:rsidR="005E7A61">
        <w:t xml:space="preserve">at sea with </w:t>
      </w:r>
      <w:r w:rsidR="005E7A61">
        <w:lastRenderedPageBreak/>
        <w:t xml:space="preserve">the PSD flux system aboard (Sep-Nov, 2015 for the ONR </w:t>
      </w:r>
      <w:proofErr w:type="spellStart"/>
      <w:r w:rsidR="005E7A61">
        <w:t>SeaState</w:t>
      </w:r>
      <w:proofErr w:type="spellEnd"/>
      <w:r w:rsidR="005E7A61">
        <w:t xml:space="preserve"> project)</w:t>
      </w:r>
      <w:r>
        <w:t>.  A compilation of recent collaborations is given in Table 1.</w:t>
      </w:r>
    </w:p>
    <w:p w14:paraId="222888F3" w14:textId="77777777" w:rsidR="00C61935" w:rsidRDefault="00C61935" w:rsidP="00BE2F99"/>
    <w:p w14:paraId="4E5517E6" w14:textId="77777777" w:rsidR="00BE2F99" w:rsidRDefault="00BE2F99" w:rsidP="00BE2F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1915"/>
        <w:gridCol w:w="1915"/>
      </w:tblGrid>
      <w:tr w:rsidR="00BE2F99" w14:paraId="00470BE6" w14:textId="77777777" w:rsidTr="00984162">
        <w:tc>
          <w:tcPr>
            <w:tcW w:w="7660" w:type="dxa"/>
            <w:gridSpan w:val="4"/>
            <w:shd w:val="clear" w:color="auto" w:fill="auto"/>
          </w:tcPr>
          <w:p w14:paraId="3182C186" w14:textId="77777777" w:rsidR="00BE2F99" w:rsidRPr="00C148A8" w:rsidRDefault="00BE2F99" w:rsidP="00984162">
            <w:r w:rsidRPr="004029D1">
              <w:rPr>
                <w:b/>
              </w:rPr>
              <w:t xml:space="preserve">Table 1.  </w:t>
            </w:r>
            <w:r>
              <w:t>Summary of research vessels with collaborations by the ESRL seagoing flux group.</w:t>
            </w:r>
          </w:p>
        </w:tc>
      </w:tr>
      <w:tr w:rsidR="00BE2F99" w14:paraId="03CC04AD" w14:textId="77777777" w:rsidTr="00984162">
        <w:tc>
          <w:tcPr>
            <w:tcW w:w="1915" w:type="dxa"/>
            <w:shd w:val="clear" w:color="auto" w:fill="auto"/>
          </w:tcPr>
          <w:p w14:paraId="40A01E58" w14:textId="77777777" w:rsidR="00BE2F99" w:rsidRPr="004029D1" w:rsidRDefault="00BE2F99" w:rsidP="00984162">
            <w:pPr>
              <w:rPr>
                <w:b/>
              </w:rPr>
            </w:pPr>
            <w:r w:rsidRPr="004029D1">
              <w:rPr>
                <w:b/>
              </w:rPr>
              <w:t>Nation</w:t>
            </w:r>
          </w:p>
        </w:tc>
        <w:tc>
          <w:tcPr>
            <w:tcW w:w="1915" w:type="dxa"/>
            <w:shd w:val="clear" w:color="auto" w:fill="auto"/>
          </w:tcPr>
          <w:p w14:paraId="59B8DAC1" w14:textId="77777777" w:rsidR="00BE2F99" w:rsidRPr="004029D1" w:rsidRDefault="00BE2F99" w:rsidP="00984162">
            <w:pPr>
              <w:rPr>
                <w:b/>
              </w:rPr>
            </w:pPr>
            <w:r w:rsidRPr="004029D1">
              <w:rPr>
                <w:b/>
              </w:rPr>
              <w:t>Ship</w:t>
            </w:r>
          </w:p>
        </w:tc>
        <w:tc>
          <w:tcPr>
            <w:tcW w:w="1915" w:type="dxa"/>
            <w:shd w:val="clear" w:color="auto" w:fill="auto"/>
          </w:tcPr>
          <w:p w14:paraId="23ACFC9A" w14:textId="77777777" w:rsidR="00BE2F99" w:rsidRPr="004029D1" w:rsidRDefault="00BE2F99" w:rsidP="00984162">
            <w:pPr>
              <w:rPr>
                <w:b/>
              </w:rPr>
            </w:pPr>
            <w:r w:rsidRPr="004029D1">
              <w:rPr>
                <w:b/>
              </w:rPr>
              <w:t>Institute</w:t>
            </w:r>
          </w:p>
        </w:tc>
        <w:tc>
          <w:tcPr>
            <w:tcW w:w="1915" w:type="dxa"/>
            <w:shd w:val="clear" w:color="auto" w:fill="auto"/>
          </w:tcPr>
          <w:p w14:paraId="3E63554B" w14:textId="77777777" w:rsidR="00BE2F99" w:rsidRPr="004029D1" w:rsidRDefault="00BE2F99" w:rsidP="00984162">
            <w:pPr>
              <w:rPr>
                <w:b/>
              </w:rPr>
            </w:pPr>
            <w:r w:rsidRPr="004029D1">
              <w:rPr>
                <w:b/>
              </w:rPr>
              <w:t>Contact</w:t>
            </w:r>
          </w:p>
        </w:tc>
      </w:tr>
      <w:tr w:rsidR="00BE2F99" w14:paraId="6370B1BA" w14:textId="77777777" w:rsidTr="00984162">
        <w:tc>
          <w:tcPr>
            <w:tcW w:w="1915" w:type="dxa"/>
            <w:shd w:val="clear" w:color="auto" w:fill="auto"/>
          </w:tcPr>
          <w:p w14:paraId="44DC1FF0" w14:textId="77777777" w:rsidR="00BE2F99" w:rsidRDefault="00BE2F99" w:rsidP="00984162">
            <w:r>
              <w:t>Korea</w:t>
            </w:r>
          </w:p>
        </w:tc>
        <w:tc>
          <w:tcPr>
            <w:tcW w:w="1915" w:type="dxa"/>
            <w:shd w:val="clear" w:color="auto" w:fill="auto"/>
          </w:tcPr>
          <w:p w14:paraId="4BC211C7" w14:textId="77777777" w:rsidR="00BE2F99" w:rsidRDefault="00BE2F99" w:rsidP="00984162">
            <w:proofErr w:type="spellStart"/>
            <w:r>
              <w:t>Araon</w:t>
            </w:r>
            <w:proofErr w:type="spellEnd"/>
          </w:p>
        </w:tc>
        <w:tc>
          <w:tcPr>
            <w:tcW w:w="1915" w:type="dxa"/>
            <w:shd w:val="clear" w:color="auto" w:fill="auto"/>
          </w:tcPr>
          <w:p w14:paraId="6F30E618" w14:textId="77777777" w:rsidR="00BE2F99" w:rsidRDefault="00BE2F99" w:rsidP="00984162">
            <w:r>
              <w:t>KOPRI</w:t>
            </w:r>
          </w:p>
        </w:tc>
        <w:tc>
          <w:tcPr>
            <w:tcW w:w="1915" w:type="dxa"/>
            <w:shd w:val="clear" w:color="auto" w:fill="auto"/>
          </w:tcPr>
          <w:p w14:paraId="41F808A6" w14:textId="77777777" w:rsidR="00BE2F99" w:rsidRDefault="00BE2F99" w:rsidP="00984162">
            <w:r>
              <w:t>S. Park</w:t>
            </w:r>
          </w:p>
        </w:tc>
      </w:tr>
      <w:tr w:rsidR="00BE2F99" w14:paraId="7F3803AF" w14:textId="77777777" w:rsidTr="00984162">
        <w:tc>
          <w:tcPr>
            <w:tcW w:w="1915" w:type="dxa"/>
            <w:shd w:val="clear" w:color="auto" w:fill="auto"/>
          </w:tcPr>
          <w:p w14:paraId="755F1C36" w14:textId="77777777" w:rsidR="00BE2F99" w:rsidRDefault="00BE2F99" w:rsidP="00984162">
            <w:r>
              <w:t>UK</w:t>
            </w:r>
          </w:p>
        </w:tc>
        <w:tc>
          <w:tcPr>
            <w:tcW w:w="1915" w:type="dxa"/>
            <w:shd w:val="clear" w:color="auto" w:fill="auto"/>
          </w:tcPr>
          <w:p w14:paraId="5CCA362E" w14:textId="77777777" w:rsidR="00BE2F99" w:rsidRDefault="00BE2F99" w:rsidP="00984162">
            <w:r>
              <w:t>Clark</w:t>
            </w:r>
          </w:p>
        </w:tc>
        <w:tc>
          <w:tcPr>
            <w:tcW w:w="1915" w:type="dxa"/>
            <w:shd w:val="clear" w:color="auto" w:fill="auto"/>
          </w:tcPr>
          <w:p w14:paraId="548D7892" w14:textId="77777777" w:rsidR="00BE2F99" w:rsidRDefault="00BE2F99" w:rsidP="00984162">
            <w:r>
              <w:t>NOC</w:t>
            </w:r>
          </w:p>
        </w:tc>
        <w:tc>
          <w:tcPr>
            <w:tcW w:w="1915" w:type="dxa"/>
            <w:shd w:val="clear" w:color="auto" w:fill="auto"/>
          </w:tcPr>
          <w:p w14:paraId="52576E87" w14:textId="77777777" w:rsidR="00BE2F99" w:rsidRDefault="00BE2F99" w:rsidP="00984162">
            <w:r>
              <w:t xml:space="preserve">M. </w:t>
            </w:r>
            <w:proofErr w:type="spellStart"/>
            <w:r>
              <w:t>Yelland</w:t>
            </w:r>
            <w:proofErr w:type="spellEnd"/>
          </w:p>
        </w:tc>
      </w:tr>
      <w:tr w:rsidR="00BE2F99" w14:paraId="741789B1" w14:textId="77777777" w:rsidTr="00984162">
        <w:tc>
          <w:tcPr>
            <w:tcW w:w="1915" w:type="dxa"/>
            <w:shd w:val="clear" w:color="auto" w:fill="auto"/>
          </w:tcPr>
          <w:p w14:paraId="22F25E31" w14:textId="77777777" w:rsidR="00BE2F99" w:rsidRDefault="00BE2F99" w:rsidP="00984162">
            <w:r>
              <w:t>Ireland</w:t>
            </w:r>
          </w:p>
        </w:tc>
        <w:tc>
          <w:tcPr>
            <w:tcW w:w="1915" w:type="dxa"/>
            <w:shd w:val="clear" w:color="auto" w:fill="auto"/>
          </w:tcPr>
          <w:p w14:paraId="47143CF7" w14:textId="77777777" w:rsidR="00BE2F99" w:rsidRDefault="00BE2F99" w:rsidP="00984162">
            <w:r>
              <w:t>Celtic Explorer</w:t>
            </w:r>
          </w:p>
        </w:tc>
        <w:tc>
          <w:tcPr>
            <w:tcW w:w="1915" w:type="dxa"/>
            <w:shd w:val="clear" w:color="auto" w:fill="auto"/>
          </w:tcPr>
          <w:p w14:paraId="6E73AE4A" w14:textId="77777777" w:rsidR="00BE2F99" w:rsidRDefault="00BE2F99" w:rsidP="00984162">
            <w:r>
              <w:t>U. Galway</w:t>
            </w:r>
          </w:p>
        </w:tc>
        <w:tc>
          <w:tcPr>
            <w:tcW w:w="1915" w:type="dxa"/>
            <w:shd w:val="clear" w:color="auto" w:fill="auto"/>
          </w:tcPr>
          <w:p w14:paraId="66F22F90" w14:textId="77777777" w:rsidR="00BE2F99" w:rsidRDefault="00BE2F99" w:rsidP="00984162">
            <w:r>
              <w:t>B. Ward</w:t>
            </w:r>
          </w:p>
        </w:tc>
      </w:tr>
      <w:tr w:rsidR="00BE2F99" w14:paraId="0702F573" w14:textId="77777777" w:rsidTr="00984162">
        <w:tc>
          <w:tcPr>
            <w:tcW w:w="1915" w:type="dxa"/>
            <w:shd w:val="clear" w:color="auto" w:fill="auto"/>
          </w:tcPr>
          <w:p w14:paraId="460A3819" w14:textId="77777777" w:rsidR="00BE2F99" w:rsidRDefault="00BE2F99" w:rsidP="00984162">
            <w:r>
              <w:t>Germany</w:t>
            </w:r>
          </w:p>
        </w:tc>
        <w:tc>
          <w:tcPr>
            <w:tcW w:w="1915" w:type="dxa"/>
            <w:shd w:val="clear" w:color="auto" w:fill="auto"/>
          </w:tcPr>
          <w:p w14:paraId="1116E709" w14:textId="77777777" w:rsidR="00BE2F99" w:rsidRDefault="00BE2F99" w:rsidP="00984162">
            <w:r>
              <w:t>Meteor</w:t>
            </w:r>
          </w:p>
        </w:tc>
        <w:tc>
          <w:tcPr>
            <w:tcW w:w="1915" w:type="dxa"/>
            <w:shd w:val="clear" w:color="auto" w:fill="auto"/>
          </w:tcPr>
          <w:p w14:paraId="36A9F07A" w14:textId="77777777" w:rsidR="00BE2F99" w:rsidRDefault="00BE2F99" w:rsidP="00984162">
            <w:proofErr w:type="spellStart"/>
            <w:r>
              <w:t>U.Hamburg</w:t>
            </w:r>
            <w:proofErr w:type="spellEnd"/>
          </w:p>
        </w:tc>
        <w:tc>
          <w:tcPr>
            <w:tcW w:w="1915" w:type="dxa"/>
            <w:shd w:val="clear" w:color="auto" w:fill="auto"/>
          </w:tcPr>
          <w:p w14:paraId="307B589B" w14:textId="77777777" w:rsidR="00BE2F99" w:rsidRDefault="00BE2F99" w:rsidP="00984162">
            <w:r>
              <w:t xml:space="preserve">S. </w:t>
            </w:r>
            <w:proofErr w:type="spellStart"/>
            <w:r>
              <w:t>Kinne</w:t>
            </w:r>
            <w:proofErr w:type="spellEnd"/>
          </w:p>
        </w:tc>
      </w:tr>
      <w:tr w:rsidR="00BE2F99" w14:paraId="4EE4EB88" w14:textId="77777777" w:rsidTr="00984162">
        <w:tc>
          <w:tcPr>
            <w:tcW w:w="1915" w:type="dxa"/>
            <w:shd w:val="clear" w:color="auto" w:fill="auto"/>
          </w:tcPr>
          <w:p w14:paraId="178EE6AA" w14:textId="77777777" w:rsidR="00BE2F99" w:rsidRDefault="00BE2F99" w:rsidP="00984162">
            <w:r>
              <w:t>France</w:t>
            </w:r>
          </w:p>
        </w:tc>
        <w:tc>
          <w:tcPr>
            <w:tcW w:w="1915" w:type="dxa"/>
            <w:shd w:val="clear" w:color="auto" w:fill="auto"/>
          </w:tcPr>
          <w:p w14:paraId="6033CFD6" w14:textId="77777777" w:rsidR="00BE2F99" w:rsidRDefault="00BE2F99" w:rsidP="00984162">
            <w:proofErr w:type="spellStart"/>
            <w:r>
              <w:t>L’Atalante</w:t>
            </w:r>
            <w:proofErr w:type="spellEnd"/>
          </w:p>
        </w:tc>
        <w:tc>
          <w:tcPr>
            <w:tcW w:w="1915" w:type="dxa"/>
            <w:shd w:val="clear" w:color="auto" w:fill="auto"/>
          </w:tcPr>
          <w:p w14:paraId="3EB93AE8" w14:textId="77777777" w:rsidR="00BE2F99" w:rsidRDefault="00BE2F99" w:rsidP="00984162">
            <w:r>
              <w:t>IFREMER</w:t>
            </w:r>
          </w:p>
        </w:tc>
        <w:tc>
          <w:tcPr>
            <w:tcW w:w="1915" w:type="dxa"/>
            <w:shd w:val="clear" w:color="auto" w:fill="auto"/>
          </w:tcPr>
          <w:p w14:paraId="63159AEA" w14:textId="77777777" w:rsidR="00BE2F99" w:rsidRDefault="00BE2F99" w:rsidP="00984162">
            <w:r>
              <w:t>A. Weill</w:t>
            </w:r>
          </w:p>
        </w:tc>
      </w:tr>
      <w:tr w:rsidR="00BE2F99" w14:paraId="1C34FF90" w14:textId="77777777" w:rsidTr="00984162">
        <w:tc>
          <w:tcPr>
            <w:tcW w:w="1915" w:type="dxa"/>
            <w:shd w:val="clear" w:color="auto" w:fill="auto"/>
          </w:tcPr>
          <w:p w14:paraId="3F2CA928" w14:textId="77777777" w:rsidR="00BE2F99" w:rsidRDefault="00BE2F99" w:rsidP="00984162">
            <w:r>
              <w:t>Australia</w:t>
            </w:r>
          </w:p>
        </w:tc>
        <w:tc>
          <w:tcPr>
            <w:tcW w:w="1915" w:type="dxa"/>
            <w:shd w:val="clear" w:color="auto" w:fill="auto"/>
          </w:tcPr>
          <w:p w14:paraId="2F623AD3" w14:textId="77777777" w:rsidR="00BE2F99" w:rsidRDefault="00BE2F99" w:rsidP="00984162">
            <w:r>
              <w:t>S. Surveyor</w:t>
            </w:r>
          </w:p>
        </w:tc>
        <w:tc>
          <w:tcPr>
            <w:tcW w:w="1915" w:type="dxa"/>
            <w:shd w:val="clear" w:color="auto" w:fill="auto"/>
          </w:tcPr>
          <w:p w14:paraId="66777B94" w14:textId="77777777" w:rsidR="00BE2F99" w:rsidRDefault="00BE2F99" w:rsidP="00984162">
            <w:r>
              <w:t>Aus. BOM</w:t>
            </w:r>
          </w:p>
        </w:tc>
        <w:tc>
          <w:tcPr>
            <w:tcW w:w="1915" w:type="dxa"/>
            <w:shd w:val="clear" w:color="auto" w:fill="auto"/>
          </w:tcPr>
          <w:p w14:paraId="10CCCF2F" w14:textId="77777777" w:rsidR="00BE2F99" w:rsidRDefault="00BE2F99" w:rsidP="00984162">
            <w:r>
              <w:t>E. Schulz</w:t>
            </w:r>
          </w:p>
        </w:tc>
      </w:tr>
      <w:tr w:rsidR="00BE2F99" w14:paraId="394C000C" w14:textId="77777777" w:rsidTr="00984162">
        <w:tc>
          <w:tcPr>
            <w:tcW w:w="1915" w:type="dxa"/>
            <w:shd w:val="clear" w:color="auto" w:fill="auto"/>
          </w:tcPr>
          <w:p w14:paraId="383D07B6" w14:textId="77777777" w:rsidR="00BE2F99" w:rsidRDefault="00BE2F99" w:rsidP="00984162">
            <w:r>
              <w:t>India</w:t>
            </w:r>
          </w:p>
        </w:tc>
        <w:tc>
          <w:tcPr>
            <w:tcW w:w="1915" w:type="dxa"/>
            <w:shd w:val="clear" w:color="auto" w:fill="auto"/>
          </w:tcPr>
          <w:p w14:paraId="185DA723" w14:textId="77777777" w:rsidR="00BE2F99" w:rsidRDefault="00BE2F99" w:rsidP="00984162">
            <w:r>
              <w:t xml:space="preserve">Sindhu </w:t>
            </w:r>
            <w:proofErr w:type="spellStart"/>
            <w:r>
              <w:t>Sankalp</w:t>
            </w:r>
            <w:proofErr w:type="spellEnd"/>
          </w:p>
        </w:tc>
        <w:tc>
          <w:tcPr>
            <w:tcW w:w="1915" w:type="dxa"/>
            <w:shd w:val="clear" w:color="auto" w:fill="auto"/>
          </w:tcPr>
          <w:p w14:paraId="5BE1B145" w14:textId="77777777" w:rsidR="00BE2F99" w:rsidRDefault="00BE2F99" w:rsidP="00984162">
            <w:r>
              <w:t>NIO Goa</w:t>
            </w:r>
          </w:p>
        </w:tc>
        <w:tc>
          <w:tcPr>
            <w:tcW w:w="1915" w:type="dxa"/>
            <w:shd w:val="clear" w:color="auto" w:fill="auto"/>
          </w:tcPr>
          <w:p w14:paraId="7C5A8FCF" w14:textId="77777777" w:rsidR="00BE2F99" w:rsidRDefault="00BE2F99" w:rsidP="00984162">
            <w:r>
              <w:t>V. Kumar</w:t>
            </w:r>
          </w:p>
        </w:tc>
      </w:tr>
      <w:tr w:rsidR="00BE2F99" w14:paraId="0F7E1030" w14:textId="77777777" w:rsidTr="00BE2F99">
        <w:trPr>
          <w:trHeight w:val="341"/>
        </w:trPr>
        <w:tc>
          <w:tcPr>
            <w:tcW w:w="1915" w:type="dxa"/>
            <w:shd w:val="clear" w:color="auto" w:fill="auto"/>
          </w:tcPr>
          <w:p w14:paraId="33AA8BF9" w14:textId="77777777" w:rsidR="00BE2F99" w:rsidRDefault="00BE2F99" w:rsidP="00984162">
            <w:r>
              <w:t>US</w:t>
            </w:r>
          </w:p>
        </w:tc>
        <w:tc>
          <w:tcPr>
            <w:tcW w:w="1915" w:type="dxa"/>
            <w:shd w:val="clear" w:color="auto" w:fill="auto"/>
          </w:tcPr>
          <w:p w14:paraId="30C8B177" w14:textId="77777777" w:rsidR="00BE2F99" w:rsidRDefault="00BE2F99" w:rsidP="00984162">
            <w:proofErr w:type="spellStart"/>
            <w:r>
              <w:t>Sikuliaq</w:t>
            </w:r>
            <w:proofErr w:type="spellEnd"/>
          </w:p>
        </w:tc>
        <w:tc>
          <w:tcPr>
            <w:tcW w:w="1915" w:type="dxa"/>
            <w:shd w:val="clear" w:color="auto" w:fill="auto"/>
          </w:tcPr>
          <w:p w14:paraId="1E4CEC30" w14:textId="77777777" w:rsidR="00BE2F99" w:rsidRDefault="00BE2F99" w:rsidP="00984162">
            <w:r>
              <w:t>U. Alaska</w:t>
            </w:r>
          </w:p>
        </w:tc>
        <w:tc>
          <w:tcPr>
            <w:tcW w:w="1915" w:type="dxa"/>
            <w:shd w:val="clear" w:color="auto" w:fill="auto"/>
          </w:tcPr>
          <w:p w14:paraId="080DABA2" w14:textId="77777777" w:rsidR="00BE2F99" w:rsidRDefault="00BE2F99" w:rsidP="00984162">
            <w:r>
              <w:t>M. Edwards</w:t>
            </w:r>
          </w:p>
        </w:tc>
      </w:tr>
      <w:tr w:rsidR="00BE2F99" w14:paraId="3316C134" w14:textId="77777777" w:rsidTr="00984162">
        <w:tc>
          <w:tcPr>
            <w:tcW w:w="1915" w:type="dxa"/>
            <w:shd w:val="clear" w:color="auto" w:fill="auto"/>
          </w:tcPr>
          <w:p w14:paraId="34CC33B0" w14:textId="4D6215D8" w:rsidR="00BE2F99" w:rsidRDefault="00BE2F99" w:rsidP="00984162">
            <w:r>
              <w:t>Japan</w:t>
            </w:r>
          </w:p>
        </w:tc>
        <w:tc>
          <w:tcPr>
            <w:tcW w:w="1915" w:type="dxa"/>
            <w:shd w:val="clear" w:color="auto" w:fill="auto"/>
          </w:tcPr>
          <w:p w14:paraId="18E7BE75" w14:textId="46ECDB1B" w:rsidR="00BE2F99" w:rsidRDefault="00BE2F99" w:rsidP="00984162">
            <w:proofErr w:type="spellStart"/>
            <w:r>
              <w:t>Mirai</w:t>
            </w:r>
            <w:proofErr w:type="spellEnd"/>
          </w:p>
        </w:tc>
        <w:tc>
          <w:tcPr>
            <w:tcW w:w="1915" w:type="dxa"/>
            <w:shd w:val="clear" w:color="auto" w:fill="auto"/>
          </w:tcPr>
          <w:p w14:paraId="0D8247FA" w14:textId="079E7A45" w:rsidR="00BE2F99" w:rsidRDefault="00BE2F99" w:rsidP="00984162">
            <w:r>
              <w:t>JAMSTEC</w:t>
            </w:r>
          </w:p>
        </w:tc>
        <w:tc>
          <w:tcPr>
            <w:tcW w:w="1915" w:type="dxa"/>
            <w:shd w:val="clear" w:color="auto" w:fill="auto"/>
          </w:tcPr>
          <w:p w14:paraId="5A100182" w14:textId="65C56C46" w:rsidR="00BE2F99" w:rsidRDefault="00BE2F99" w:rsidP="00984162">
            <w:r>
              <w:t>Jun Inoue</w:t>
            </w:r>
          </w:p>
        </w:tc>
      </w:tr>
    </w:tbl>
    <w:p w14:paraId="6FEE9FBC" w14:textId="77777777" w:rsidR="0079726F" w:rsidRPr="00324359" w:rsidRDefault="0079726F" w:rsidP="0079726F">
      <w:pPr>
        <w:pStyle w:val="Heading1"/>
        <w:numPr>
          <w:ilvl w:val="0"/>
          <w:numId w:val="8"/>
        </w:numPr>
        <w:rPr>
          <w:rFonts w:ascii="Times New Roman" w:hAnsi="Times New Roman"/>
        </w:rPr>
      </w:pPr>
      <w:r w:rsidRPr="00324359">
        <w:rPr>
          <w:rFonts w:ascii="Times New Roman" w:hAnsi="Times New Roman"/>
        </w:rPr>
        <w:t>Publications and Reports</w:t>
      </w:r>
      <w:bookmarkEnd w:id="8"/>
      <w:bookmarkEnd w:id="9"/>
    </w:p>
    <w:p w14:paraId="3072E982" w14:textId="77777777" w:rsidR="0079726F" w:rsidRDefault="0079726F" w:rsidP="0079726F"/>
    <w:p w14:paraId="4374DD98" w14:textId="77777777" w:rsidR="0079726F" w:rsidRPr="00324359" w:rsidRDefault="0079726F" w:rsidP="00640647">
      <w:pPr>
        <w:pStyle w:val="Heading2"/>
        <w:framePr w:wrap="auto" w:vAnchor="margin" w:yAlign="inline"/>
        <w:spacing w:before="0"/>
        <w:ind w:firstLine="0"/>
        <w:rPr>
          <w:rFonts w:ascii="Times New Roman" w:hAnsi="Times New Roman"/>
        </w:rPr>
      </w:pPr>
      <w:bookmarkStart w:id="10" w:name="_Toc273610335"/>
      <w:r w:rsidRPr="00324359">
        <w:rPr>
          <w:rFonts w:ascii="Times New Roman" w:hAnsi="Times New Roman"/>
        </w:rPr>
        <w:t>Publications by Principal Investigators</w:t>
      </w:r>
      <w:bookmarkEnd w:id="10"/>
    </w:p>
    <w:p w14:paraId="77550C2F" w14:textId="439F27B4" w:rsidR="00640647" w:rsidRDefault="00640647" w:rsidP="00EA5D31"/>
    <w:p w14:paraId="4BC2F3F7" w14:textId="49FDA7B1" w:rsidR="00EA5D31" w:rsidRPr="00EE4824" w:rsidRDefault="00EE4824" w:rsidP="00EA5D31">
      <w:pPr>
        <w:rPr>
          <w:b/>
          <w:i/>
          <w:spacing w:val="-3"/>
        </w:rPr>
      </w:pPr>
      <w:r w:rsidRPr="00EE4824">
        <w:rPr>
          <w:b/>
          <w:i/>
          <w:spacing w:val="-3"/>
        </w:rPr>
        <w:t>*Published</w:t>
      </w:r>
    </w:p>
    <w:p w14:paraId="2385403A" w14:textId="77777777" w:rsidR="00EE4824" w:rsidRDefault="00EE4824" w:rsidP="00EA5D31">
      <w:pPr>
        <w:rPr>
          <w:spacing w:val="-3"/>
        </w:rPr>
      </w:pPr>
    </w:p>
    <w:p w14:paraId="15902468" w14:textId="77777777" w:rsidR="000B4A58" w:rsidRDefault="000B4A58" w:rsidP="000B4A58">
      <w:pPr>
        <w:widowControl w:val="0"/>
        <w:ind w:left="720" w:hanging="720"/>
      </w:pPr>
      <w:proofErr w:type="spellStart"/>
      <w:r w:rsidRPr="00E60465">
        <w:rPr>
          <w:bCs/>
        </w:rPr>
        <w:t>Ghate</w:t>
      </w:r>
      <w:proofErr w:type="spellEnd"/>
      <w:r w:rsidRPr="00E60465">
        <w:rPr>
          <w:bCs/>
        </w:rPr>
        <w:t xml:space="preserve">, </w:t>
      </w:r>
      <w:proofErr w:type="spellStart"/>
      <w:r w:rsidRPr="00E60465">
        <w:rPr>
          <w:bCs/>
        </w:rPr>
        <w:t>Virendra</w:t>
      </w:r>
      <w:proofErr w:type="spellEnd"/>
      <w:r w:rsidRPr="00E60465">
        <w:rPr>
          <w:bCs/>
        </w:rPr>
        <w:t xml:space="preserve"> P., Mark A. Miller, Bruce A. Albrecht, </w:t>
      </w:r>
      <w:r>
        <w:rPr>
          <w:bCs/>
        </w:rPr>
        <w:t>and C. W. Fairall, 2015</w:t>
      </w:r>
      <w:r w:rsidRPr="00E60465">
        <w:rPr>
          <w:bCs/>
        </w:rPr>
        <w:t xml:space="preserve">: </w:t>
      </w:r>
      <w:r>
        <w:t>Thermodynamic and radiative structure of stratocumulus topped boundary</w:t>
      </w:r>
      <w:r w:rsidRPr="00E60465">
        <w:t xml:space="preserve"> </w:t>
      </w:r>
      <w:r>
        <w:t>l</w:t>
      </w:r>
      <w:r w:rsidRPr="00E60465">
        <w:t>ayer</w:t>
      </w:r>
      <w:r>
        <w:t xml:space="preserve">s. </w:t>
      </w:r>
      <w:r>
        <w:rPr>
          <w:bCs/>
          <w:i/>
        </w:rPr>
        <w:t>J. Atmos. Sci</w:t>
      </w:r>
      <w:r>
        <w:rPr>
          <w:bCs/>
        </w:rPr>
        <w:t xml:space="preserve">., </w:t>
      </w:r>
      <w:r w:rsidRPr="00780B18">
        <w:rPr>
          <w:b/>
          <w:bCs/>
        </w:rPr>
        <w:t>72</w:t>
      </w:r>
      <w:r>
        <w:rPr>
          <w:bCs/>
        </w:rPr>
        <w:t>,</w:t>
      </w:r>
      <w:r w:rsidRPr="00780B18">
        <w:rPr>
          <w:bCs/>
        </w:rPr>
        <w:t xml:space="preserve"> 430-451</w:t>
      </w:r>
      <w:r>
        <w:rPr>
          <w:bCs/>
        </w:rPr>
        <w:t xml:space="preserve">, </w:t>
      </w:r>
      <w:proofErr w:type="spellStart"/>
      <w:r>
        <w:t>doi</w:t>
      </w:r>
      <w:proofErr w:type="spellEnd"/>
      <w:r>
        <w:t xml:space="preserve">: </w:t>
      </w:r>
      <w:hyperlink r:id="rId20" w:history="1">
        <w:r>
          <w:rPr>
            <w:rStyle w:val="Hyperlink"/>
          </w:rPr>
          <w:t>http://dx.doi.org/10.1175/JAS-D-13-0313.1</w:t>
        </w:r>
      </w:hyperlink>
      <w:r>
        <w:t>.</w:t>
      </w:r>
    </w:p>
    <w:p w14:paraId="55D16858" w14:textId="77777777" w:rsidR="000B4A58" w:rsidRDefault="000B4A58" w:rsidP="000B4A58">
      <w:pPr>
        <w:widowControl w:val="0"/>
        <w:ind w:left="720" w:hanging="720"/>
        <w:rPr>
          <w:b/>
          <w:bCs/>
        </w:rPr>
      </w:pPr>
    </w:p>
    <w:p w14:paraId="5D9CEB82" w14:textId="77777777" w:rsidR="000B4A58" w:rsidRPr="00AA5C70" w:rsidRDefault="000B4A58" w:rsidP="000B4A58">
      <w:pPr>
        <w:widowControl w:val="0"/>
        <w:ind w:left="720" w:hanging="720"/>
        <w:rPr>
          <w:bCs/>
        </w:rPr>
      </w:pPr>
      <w:r w:rsidRPr="00883B2B">
        <w:rPr>
          <w:bCs/>
        </w:rPr>
        <w:t xml:space="preserve">De </w:t>
      </w:r>
      <w:proofErr w:type="spellStart"/>
      <w:r w:rsidRPr="00883B2B">
        <w:rPr>
          <w:bCs/>
        </w:rPr>
        <w:t>Szoeke</w:t>
      </w:r>
      <w:proofErr w:type="spellEnd"/>
      <w:r w:rsidRPr="00883B2B">
        <w:rPr>
          <w:bCs/>
        </w:rPr>
        <w:t xml:space="preserve">, Simon P., James B. Edson, June R. Marion, Christopher W. Fairall, and </w:t>
      </w:r>
      <w:proofErr w:type="spellStart"/>
      <w:r w:rsidRPr="00883B2B">
        <w:rPr>
          <w:bCs/>
        </w:rPr>
        <w:t>Ludovic</w:t>
      </w:r>
      <w:proofErr w:type="spellEnd"/>
      <w:r w:rsidRPr="00883B2B">
        <w:rPr>
          <w:bCs/>
        </w:rPr>
        <w:t xml:space="preserve">  </w:t>
      </w:r>
      <w:proofErr w:type="spellStart"/>
      <w:r w:rsidRPr="00883B2B">
        <w:rPr>
          <w:bCs/>
        </w:rPr>
        <w:t>Bariteau</w:t>
      </w:r>
      <w:proofErr w:type="spellEnd"/>
      <w:r w:rsidRPr="00883B2B">
        <w:rPr>
          <w:bCs/>
        </w:rPr>
        <w:t>, 201</w:t>
      </w:r>
      <w:r>
        <w:rPr>
          <w:bCs/>
        </w:rPr>
        <w:t>5</w:t>
      </w:r>
      <w:r w:rsidRPr="00883B2B">
        <w:rPr>
          <w:bCs/>
        </w:rPr>
        <w:t xml:space="preserve">: The MJO and Air-Sea Interaction in TOGA COARE and DYNAMO. </w:t>
      </w:r>
      <w:r w:rsidRPr="00883B2B">
        <w:rPr>
          <w:bCs/>
          <w:i/>
        </w:rPr>
        <w:t xml:space="preserve">J. </w:t>
      </w:r>
      <w:proofErr w:type="spellStart"/>
      <w:r w:rsidRPr="00883B2B">
        <w:rPr>
          <w:bCs/>
          <w:i/>
        </w:rPr>
        <w:t>Clim</w:t>
      </w:r>
      <w:proofErr w:type="spellEnd"/>
      <w:r w:rsidRPr="00883B2B">
        <w:rPr>
          <w:bCs/>
          <w:i/>
        </w:rPr>
        <w:t>.</w:t>
      </w:r>
      <w:r>
        <w:rPr>
          <w:bCs/>
        </w:rPr>
        <w:t xml:space="preserve">, </w:t>
      </w:r>
      <w:r w:rsidRPr="00AA5C70">
        <w:rPr>
          <w:b/>
          <w:bCs/>
        </w:rPr>
        <w:t>28</w:t>
      </w:r>
      <w:r w:rsidRPr="00AA5C70">
        <w:rPr>
          <w:bCs/>
        </w:rPr>
        <w:t xml:space="preserve">, 597–622. </w:t>
      </w:r>
      <w:proofErr w:type="spellStart"/>
      <w:r w:rsidRPr="00AA5C70">
        <w:rPr>
          <w:bCs/>
        </w:rPr>
        <w:t>doi</w:t>
      </w:r>
      <w:proofErr w:type="spellEnd"/>
      <w:r w:rsidRPr="00AA5C70">
        <w:rPr>
          <w:bCs/>
        </w:rPr>
        <w:t xml:space="preserve">: </w:t>
      </w:r>
      <w:hyperlink r:id="rId21" w:history="1">
        <w:r w:rsidRPr="00AA5C70">
          <w:rPr>
            <w:rStyle w:val="Hyperlink"/>
            <w:bCs/>
          </w:rPr>
          <w:t>http://dx.doi.org/10.1175/JCLI-D-14-00477.1</w:t>
        </w:r>
      </w:hyperlink>
      <w:r w:rsidRPr="00AA5C70">
        <w:rPr>
          <w:bCs/>
        </w:rPr>
        <w:t xml:space="preserve"> </w:t>
      </w:r>
    </w:p>
    <w:p w14:paraId="6803B783" w14:textId="77777777" w:rsidR="000B4A58" w:rsidRPr="00AA5C70" w:rsidRDefault="000B4A58" w:rsidP="000B4A58">
      <w:pPr>
        <w:widowControl w:val="0"/>
        <w:ind w:left="720" w:hanging="720"/>
        <w:rPr>
          <w:bCs/>
        </w:rPr>
      </w:pPr>
    </w:p>
    <w:p w14:paraId="71A3FBE5" w14:textId="77777777" w:rsidR="000B4A58" w:rsidRPr="004E55B6" w:rsidRDefault="000B4A58" w:rsidP="000B4A58">
      <w:pPr>
        <w:widowControl w:val="0"/>
        <w:ind w:left="720" w:hanging="720"/>
        <w:rPr>
          <w:bCs/>
        </w:rPr>
      </w:pPr>
      <w:r w:rsidRPr="004E55B6">
        <w:rPr>
          <w:bCs/>
          <w:lang w:val="en-GB"/>
        </w:rPr>
        <w:fldChar w:fldCharType="begin"/>
      </w:r>
      <w:r w:rsidRPr="004E55B6">
        <w:rPr>
          <w:bCs/>
          <w:lang w:val="en-GB"/>
        </w:rPr>
        <w:instrText xml:space="preserve"> SEQ CHAPTER \h \r 1</w:instrText>
      </w:r>
      <w:r w:rsidRPr="004E55B6">
        <w:rPr>
          <w:bCs/>
        </w:rPr>
        <w:fldChar w:fldCharType="end"/>
      </w:r>
      <w:proofErr w:type="spellStart"/>
      <w:r w:rsidRPr="004E55B6">
        <w:rPr>
          <w:bCs/>
          <w:lang w:val="en-GB"/>
        </w:rPr>
        <w:t>Grachev</w:t>
      </w:r>
      <w:proofErr w:type="spellEnd"/>
      <w:r w:rsidRPr="004E55B6">
        <w:rPr>
          <w:bCs/>
          <w:lang w:val="en-GB"/>
        </w:rPr>
        <w:t>, Andrey A. , Edgar L Andreas,  C. W. Fairall, Peter S. Guest</w:t>
      </w:r>
      <w:r w:rsidRPr="004E55B6">
        <w:rPr>
          <w:bCs/>
          <w:vertAlign w:val="superscript"/>
          <w:lang w:val="en-GB"/>
        </w:rPr>
        <w:t>,</w:t>
      </w:r>
      <w:r w:rsidRPr="004E55B6">
        <w:rPr>
          <w:bCs/>
          <w:lang w:val="en-GB"/>
        </w:rPr>
        <w:t xml:space="preserve"> and  P. Ola G. </w:t>
      </w:r>
      <w:proofErr w:type="spellStart"/>
      <w:r w:rsidRPr="004E55B6">
        <w:rPr>
          <w:bCs/>
          <w:lang w:val="en-GB"/>
        </w:rPr>
        <w:t>Persson</w:t>
      </w:r>
      <w:proofErr w:type="spellEnd"/>
      <w:r w:rsidRPr="004E55B6">
        <w:rPr>
          <w:bCs/>
          <w:lang w:val="en-GB"/>
        </w:rPr>
        <w:t xml:space="preserve">, 2015: </w:t>
      </w:r>
      <w:r w:rsidRPr="004E55B6">
        <w:rPr>
          <w:bCs/>
        </w:rPr>
        <w:t>Similarity theory based on the Dougherty-</w:t>
      </w:r>
      <w:proofErr w:type="spellStart"/>
      <w:r w:rsidRPr="004E55B6">
        <w:rPr>
          <w:bCs/>
        </w:rPr>
        <w:t>Ozmidov</w:t>
      </w:r>
      <w:proofErr w:type="spellEnd"/>
      <w:r w:rsidRPr="004E55B6">
        <w:rPr>
          <w:bCs/>
        </w:rPr>
        <w:t xml:space="preserve"> length scale.  </w:t>
      </w:r>
      <w:r w:rsidRPr="004E55B6">
        <w:rPr>
          <w:bCs/>
          <w:i/>
        </w:rPr>
        <w:t>Quart. J. Roy. Met. So</w:t>
      </w:r>
      <w:r w:rsidRPr="004E55B6">
        <w:rPr>
          <w:bCs/>
        </w:rPr>
        <w:t xml:space="preserve">c., </w:t>
      </w:r>
      <w:r w:rsidRPr="004E55B6">
        <w:rPr>
          <w:b/>
          <w:bCs/>
        </w:rPr>
        <w:t>141</w:t>
      </w:r>
      <w:r w:rsidRPr="004E55B6">
        <w:rPr>
          <w:bCs/>
        </w:rPr>
        <w:t xml:space="preserve">, </w:t>
      </w:r>
      <w:proofErr w:type="spellStart"/>
      <w:r w:rsidRPr="004E55B6">
        <w:rPr>
          <w:bCs/>
        </w:rPr>
        <w:t>doi</w:t>
      </w:r>
      <w:proofErr w:type="spellEnd"/>
      <w:r w:rsidRPr="004E55B6">
        <w:rPr>
          <w:bCs/>
        </w:rPr>
        <w:t xml:space="preserve">: </w:t>
      </w:r>
      <w:hyperlink r:id="rId22" w:history="1">
        <w:r w:rsidRPr="004E55B6">
          <w:rPr>
            <w:rStyle w:val="Hyperlink"/>
            <w:bCs/>
          </w:rPr>
          <w:t>http://dx.doi.org/10.1002/qj.2488</w:t>
        </w:r>
      </w:hyperlink>
      <w:r w:rsidRPr="004E55B6">
        <w:rPr>
          <w:bCs/>
        </w:rPr>
        <w:t xml:space="preserve"> .</w:t>
      </w:r>
    </w:p>
    <w:p w14:paraId="04AE60B1" w14:textId="77777777" w:rsidR="000B4A58" w:rsidRDefault="000B4A58" w:rsidP="00EE4824">
      <w:pPr>
        <w:jc w:val="both"/>
        <w:rPr>
          <w:b/>
          <w:bCs/>
          <w:i/>
        </w:rPr>
      </w:pPr>
    </w:p>
    <w:p w14:paraId="2AC87A3F" w14:textId="30C00D7D" w:rsidR="00EE4824" w:rsidRDefault="000B4A58" w:rsidP="00EE4824">
      <w:pPr>
        <w:jc w:val="both"/>
        <w:rPr>
          <w:bCs/>
        </w:rPr>
      </w:pPr>
      <w:r>
        <w:rPr>
          <w:b/>
          <w:bCs/>
          <w:i/>
        </w:rPr>
        <w:t>*</w:t>
      </w:r>
      <w:r w:rsidR="00EE4824">
        <w:rPr>
          <w:b/>
          <w:bCs/>
          <w:i/>
        </w:rPr>
        <w:t>In Press</w:t>
      </w:r>
    </w:p>
    <w:p w14:paraId="10594537" w14:textId="77777777" w:rsidR="000B4A58" w:rsidRDefault="000B4A58" w:rsidP="000B4A58">
      <w:pPr>
        <w:widowControl w:val="0"/>
        <w:ind w:left="720" w:hanging="720"/>
        <w:rPr>
          <w:bCs/>
        </w:rPr>
      </w:pPr>
    </w:p>
    <w:p w14:paraId="5C56BA6B" w14:textId="77777777" w:rsidR="000B4A58" w:rsidRDefault="000B4A58" w:rsidP="000B4A58">
      <w:pPr>
        <w:widowControl w:val="0"/>
        <w:ind w:left="720" w:hanging="720"/>
        <w:rPr>
          <w:bCs/>
        </w:rPr>
      </w:pPr>
      <w:r w:rsidRPr="004E55B6">
        <w:rPr>
          <w:bCs/>
        </w:rPr>
        <w:t xml:space="preserve">Chen, S., M. </w:t>
      </w:r>
      <w:proofErr w:type="spellStart"/>
      <w:r w:rsidRPr="004E55B6">
        <w:rPr>
          <w:bCs/>
        </w:rPr>
        <w:t>Flatau</w:t>
      </w:r>
      <w:proofErr w:type="spellEnd"/>
      <w:r w:rsidRPr="004E55B6">
        <w:rPr>
          <w:bCs/>
        </w:rPr>
        <w:t xml:space="preserve">, T. Jensen, T. </w:t>
      </w:r>
      <w:proofErr w:type="spellStart"/>
      <w:r w:rsidRPr="004E55B6">
        <w:rPr>
          <w:bCs/>
        </w:rPr>
        <w:t>Shinoda</w:t>
      </w:r>
      <w:proofErr w:type="spellEnd"/>
      <w:r w:rsidRPr="004E55B6">
        <w:rPr>
          <w:bCs/>
        </w:rPr>
        <w:t xml:space="preserve">, J. Schmidt, P. May, J. Cummings, M. Liu, P. </w:t>
      </w:r>
      <w:proofErr w:type="spellStart"/>
      <w:r w:rsidRPr="004E55B6">
        <w:rPr>
          <w:bCs/>
        </w:rPr>
        <w:t>Ciesielski</w:t>
      </w:r>
      <w:proofErr w:type="spellEnd"/>
      <w:r w:rsidRPr="004E55B6">
        <w:rPr>
          <w:bCs/>
        </w:rPr>
        <w:t xml:space="preserve">, C. Fairall, R. Lien, D. </w:t>
      </w:r>
      <w:proofErr w:type="spellStart"/>
      <w:r w:rsidRPr="004E55B6">
        <w:rPr>
          <w:bCs/>
        </w:rPr>
        <w:t>Baranowski</w:t>
      </w:r>
      <w:proofErr w:type="spellEnd"/>
      <w:r w:rsidRPr="004E55B6">
        <w:rPr>
          <w:bCs/>
        </w:rPr>
        <w:t xml:space="preserve">, N. Chi, S. </w:t>
      </w:r>
      <w:proofErr w:type="spellStart"/>
      <w:r w:rsidRPr="004E55B6">
        <w:rPr>
          <w:bCs/>
        </w:rPr>
        <w:t>deSzoeke</w:t>
      </w:r>
      <w:proofErr w:type="spellEnd"/>
      <w:r w:rsidRPr="004E55B6">
        <w:rPr>
          <w:bCs/>
        </w:rPr>
        <w:t xml:space="preserve">, and J. Edson, 2015: A Study of CINDY/DYNAMO MJO Suppressed Phase. </w:t>
      </w:r>
      <w:r w:rsidRPr="004E55B6">
        <w:rPr>
          <w:bCs/>
          <w:i/>
        </w:rPr>
        <w:t>J. Atmos. Sci.</w:t>
      </w:r>
      <w:r w:rsidRPr="004E55B6">
        <w:rPr>
          <w:bCs/>
        </w:rPr>
        <w:t xml:space="preserve"> doi:10.1175/JAS-D-13-0348.1, in press.</w:t>
      </w:r>
    </w:p>
    <w:p w14:paraId="0ABA3292" w14:textId="77777777" w:rsidR="003F7F32" w:rsidRDefault="003F7F32" w:rsidP="000B4A58">
      <w:pPr>
        <w:widowControl w:val="0"/>
        <w:ind w:left="720" w:hanging="720"/>
        <w:rPr>
          <w:bCs/>
        </w:rPr>
      </w:pPr>
    </w:p>
    <w:p w14:paraId="164C5DE1" w14:textId="4FEA1240" w:rsidR="003F7F32" w:rsidRPr="00B32EEA" w:rsidRDefault="003F7F32" w:rsidP="003F7F32">
      <w:pPr>
        <w:widowControl w:val="0"/>
        <w:ind w:left="720" w:hanging="720"/>
        <w:rPr>
          <w:bCs/>
        </w:rPr>
      </w:pPr>
      <w:r w:rsidRPr="00B32EEA">
        <w:rPr>
          <w:bCs/>
        </w:rPr>
        <w:t>Ralph</w:t>
      </w:r>
      <w:r>
        <w:rPr>
          <w:bCs/>
        </w:rPr>
        <w:t xml:space="preserve">, </w:t>
      </w:r>
      <w:r w:rsidRPr="00B32EEA">
        <w:rPr>
          <w:bCs/>
        </w:rPr>
        <w:t xml:space="preserve">F. M., K. A. Prather, D. </w:t>
      </w:r>
      <w:proofErr w:type="spellStart"/>
      <w:r w:rsidRPr="00B32EEA">
        <w:rPr>
          <w:bCs/>
        </w:rPr>
        <w:t>Cayan</w:t>
      </w:r>
      <w:proofErr w:type="spellEnd"/>
      <w:r w:rsidRPr="00B32EEA">
        <w:rPr>
          <w:bCs/>
        </w:rPr>
        <w:t>, J.R. Spackman</w:t>
      </w:r>
      <w:r>
        <w:rPr>
          <w:bCs/>
        </w:rPr>
        <w:t xml:space="preserve">, </w:t>
      </w:r>
      <w:r w:rsidRPr="00B32EEA">
        <w:rPr>
          <w:bCs/>
        </w:rPr>
        <w:t xml:space="preserve">P. </w:t>
      </w:r>
      <w:proofErr w:type="spellStart"/>
      <w:r w:rsidRPr="00B32EEA">
        <w:rPr>
          <w:bCs/>
        </w:rPr>
        <w:t>DeMott</w:t>
      </w:r>
      <w:proofErr w:type="spellEnd"/>
      <w:r w:rsidRPr="00B32EEA">
        <w:rPr>
          <w:bCs/>
        </w:rPr>
        <w:t xml:space="preserve">, M. </w:t>
      </w:r>
      <w:proofErr w:type="spellStart"/>
      <w:r w:rsidRPr="00B32EEA">
        <w:rPr>
          <w:bCs/>
        </w:rPr>
        <w:t>Dettinger</w:t>
      </w:r>
      <w:proofErr w:type="spellEnd"/>
      <w:r w:rsidRPr="00B32EEA">
        <w:rPr>
          <w:bCs/>
        </w:rPr>
        <w:t>, C.</w:t>
      </w:r>
      <w:r>
        <w:rPr>
          <w:bCs/>
        </w:rPr>
        <w:t xml:space="preserve"> </w:t>
      </w:r>
      <w:r w:rsidRPr="00B32EEA">
        <w:rPr>
          <w:bCs/>
        </w:rPr>
        <w:t xml:space="preserve">Fairall, R. Leung, D. Rosenfeld, S. Rutledge, D. </w:t>
      </w:r>
      <w:proofErr w:type="spellStart"/>
      <w:r w:rsidRPr="00B32EEA">
        <w:rPr>
          <w:bCs/>
        </w:rPr>
        <w:t>Waliser</w:t>
      </w:r>
      <w:proofErr w:type="spellEnd"/>
      <w:r w:rsidRPr="00B32EEA">
        <w:rPr>
          <w:bCs/>
        </w:rPr>
        <w:t xml:space="preserve">, A. B. White, J. </w:t>
      </w:r>
      <w:proofErr w:type="spellStart"/>
      <w:r w:rsidRPr="00B32EEA">
        <w:rPr>
          <w:bCs/>
        </w:rPr>
        <w:t>Cordeira</w:t>
      </w:r>
      <w:proofErr w:type="spellEnd"/>
      <w:r w:rsidRPr="00B32EEA">
        <w:rPr>
          <w:bCs/>
        </w:rPr>
        <w:t>, A.</w:t>
      </w:r>
      <w:r>
        <w:rPr>
          <w:bCs/>
        </w:rPr>
        <w:t xml:space="preserve"> </w:t>
      </w:r>
      <w:r w:rsidRPr="00B32EEA">
        <w:rPr>
          <w:bCs/>
        </w:rPr>
        <w:t>Martin</w:t>
      </w:r>
      <w:r>
        <w:rPr>
          <w:bCs/>
        </w:rPr>
        <w:t xml:space="preserve">, </w:t>
      </w:r>
      <w:r w:rsidRPr="00B32EEA">
        <w:rPr>
          <w:bCs/>
        </w:rPr>
        <w:t xml:space="preserve">J. </w:t>
      </w:r>
      <w:proofErr w:type="spellStart"/>
      <w:r w:rsidRPr="00B32EEA">
        <w:rPr>
          <w:bCs/>
        </w:rPr>
        <w:t>Helly</w:t>
      </w:r>
      <w:proofErr w:type="spellEnd"/>
      <w:r w:rsidRPr="00B32EEA">
        <w:rPr>
          <w:bCs/>
        </w:rPr>
        <w:t>,</w:t>
      </w:r>
      <w:r>
        <w:rPr>
          <w:bCs/>
        </w:rPr>
        <w:t xml:space="preserve"> and</w:t>
      </w:r>
      <w:r w:rsidRPr="00B32EEA">
        <w:rPr>
          <w:bCs/>
        </w:rPr>
        <w:t xml:space="preserve"> J. </w:t>
      </w:r>
      <w:proofErr w:type="spellStart"/>
      <w:r w:rsidRPr="00B32EEA">
        <w:rPr>
          <w:bCs/>
        </w:rPr>
        <w:t>Intrieri</w:t>
      </w:r>
      <w:proofErr w:type="spellEnd"/>
      <w:r>
        <w:rPr>
          <w:bCs/>
        </w:rPr>
        <w:t xml:space="preserve">, 2016: </w:t>
      </w:r>
      <w:proofErr w:type="spellStart"/>
      <w:r w:rsidRPr="00B32EEA">
        <w:rPr>
          <w:bCs/>
        </w:rPr>
        <w:t>CalWater</w:t>
      </w:r>
      <w:proofErr w:type="spellEnd"/>
      <w:r w:rsidRPr="00B32EEA">
        <w:rPr>
          <w:bCs/>
        </w:rPr>
        <w:t xml:space="preserve"> Field Studies D</w:t>
      </w:r>
      <w:r w:rsidR="004550F1">
        <w:rPr>
          <w:bCs/>
        </w:rPr>
        <w:t xml:space="preserve">esigned to Quantify the </w:t>
      </w:r>
      <w:r w:rsidRPr="00B32EEA">
        <w:rPr>
          <w:bCs/>
        </w:rPr>
        <w:t xml:space="preserve">Roles of Atmospheric Rivers and Aerosols in Modulating U.S. West Coast Precipitation in a </w:t>
      </w:r>
      <w:r w:rsidRPr="00B32EEA">
        <w:rPr>
          <w:bCs/>
        </w:rPr>
        <w:lastRenderedPageBreak/>
        <w:t>Changing Climate</w:t>
      </w:r>
      <w:r>
        <w:rPr>
          <w:bCs/>
        </w:rPr>
        <w:t xml:space="preserve">.  </w:t>
      </w:r>
      <w:r w:rsidRPr="00B32EEA">
        <w:rPr>
          <w:bCs/>
          <w:i/>
          <w:iCs/>
        </w:rPr>
        <w:t>Bull. Amer. Meteor. Soc.</w:t>
      </w:r>
      <w:r>
        <w:rPr>
          <w:bCs/>
          <w:iCs/>
        </w:rPr>
        <w:t>, in press.</w:t>
      </w:r>
    </w:p>
    <w:p w14:paraId="678A0D6F" w14:textId="77777777" w:rsidR="00563A5A" w:rsidRDefault="00563A5A" w:rsidP="00EE4824">
      <w:pPr>
        <w:jc w:val="both"/>
        <w:rPr>
          <w:bCs/>
        </w:rPr>
      </w:pPr>
    </w:p>
    <w:p w14:paraId="36323743" w14:textId="0089E1CB" w:rsidR="00563A5A" w:rsidRPr="00563A5A" w:rsidRDefault="00563A5A" w:rsidP="00EE4824">
      <w:pPr>
        <w:jc w:val="both"/>
        <w:rPr>
          <w:b/>
          <w:bCs/>
          <w:i/>
        </w:rPr>
      </w:pPr>
      <w:r w:rsidRPr="00563A5A">
        <w:rPr>
          <w:b/>
          <w:bCs/>
          <w:i/>
        </w:rPr>
        <w:t>*Data Reports</w:t>
      </w:r>
    </w:p>
    <w:p w14:paraId="551F0F33" w14:textId="77777777" w:rsidR="000B4A58" w:rsidRDefault="000B4A58" w:rsidP="000B4A58">
      <w:pPr>
        <w:widowControl w:val="0"/>
      </w:pPr>
    </w:p>
    <w:p w14:paraId="468537CE" w14:textId="4BD8E428" w:rsidR="000B4A58" w:rsidRPr="00FB597E" w:rsidRDefault="000B4A58" w:rsidP="000B4A58">
      <w:pPr>
        <w:widowControl w:val="0"/>
        <w:rPr>
          <w:b/>
        </w:rPr>
      </w:pPr>
      <w:r>
        <w:fldChar w:fldCharType="begin"/>
      </w:r>
      <w:r>
        <w:instrText xml:space="preserve"> SEQ CHAPTER \h \r 1</w:instrText>
      </w:r>
      <w:r>
        <w:fldChar w:fldCharType="end"/>
      </w:r>
      <w:r>
        <w:t xml:space="preserve">Fairall, C.W., S. </w:t>
      </w:r>
      <w:proofErr w:type="spellStart"/>
      <w:r>
        <w:t>Pezoa</w:t>
      </w:r>
      <w:proofErr w:type="spellEnd"/>
      <w:r>
        <w:t xml:space="preserve">, Dan Wolfe, Janet </w:t>
      </w:r>
      <w:proofErr w:type="spellStart"/>
      <w:r>
        <w:t>Intrieri</w:t>
      </w:r>
      <w:proofErr w:type="spellEnd"/>
      <w:r>
        <w:t xml:space="preserve">, Byron </w:t>
      </w:r>
      <w:proofErr w:type="spellStart"/>
      <w:r>
        <w:t>Blomquist</w:t>
      </w:r>
      <w:proofErr w:type="spellEnd"/>
      <w:r>
        <w:t xml:space="preserve">, 2015: </w:t>
      </w:r>
      <w:r w:rsidRPr="000B4A58">
        <w:t>Description of preliminary bulk fluxes from NOAA ESRL/PSD Observations: CALWATER2 Daily flux summary files</w:t>
      </w:r>
      <w:r>
        <w:t xml:space="preserve"> (</w:t>
      </w:r>
      <w:r w:rsidRPr="000B4A58">
        <w:t>Version 3</w:t>
      </w:r>
      <w:r>
        <w:t xml:space="preserve">).  </w:t>
      </w:r>
      <w:hyperlink r:id="rId23" w:history="1">
        <w:r w:rsidRPr="00096C3B">
          <w:rPr>
            <w:rStyle w:val="Hyperlink"/>
          </w:rPr>
          <w:t>ftp://ftp1.esrl.noaa.gov/psd3/cruises/CALWATER_2015/RHB/flux/Allcruise_met_flux_v3/flux5hf_readme_CALWATER2_2015_v3.pdf</w:t>
        </w:r>
      </w:hyperlink>
      <w:r>
        <w:t xml:space="preserve"> </w:t>
      </w:r>
    </w:p>
    <w:p w14:paraId="44A7DB19" w14:textId="77777777" w:rsidR="00563A5A" w:rsidRDefault="00563A5A" w:rsidP="00EE4824">
      <w:pPr>
        <w:jc w:val="both"/>
        <w:rPr>
          <w:bCs/>
        </w:rPr>
      </w:pPr>
    </w:p>
    <w:p w14:paraId="15DAF161" w14:textId="2F7E0C4F" w:rsidR="000530E1" w:rsidRDefault="000530E1" w:rsidP="00EE4824">
      <w:pPr>
        <w:jc w:val="both"/>
        <w:rPr>
          <w:color w:val="000000"/>
        </w:rPr>
      </w:pPr>
      <w:proofErr w:type="spellStart"/>
      <w:r>
        <w:rPr>
          <w:bCs/>
        </w:rPr>
        <w:t>Blomquist</w:t>
      </w:r>
      <w:proofErr w:type="spellEnd"/>
      <w:r>
        <w:rPr>
          <w:bCs/>
        </w:rPr>
        <w:t xml:space="preserve">, B., 2015: Draft report on </w:t>
      </w:r>
      <w:r w:rsidRPr="008F65A0">
        <w:t>WHOTS-2015</w:t>
      </w:r>
      <w:r>
        <w:t xml:space="preserve"> and NOAA Ship </w:t>
      </w:r>
      <w:proofErr w:type="spellStart"/>
      <w:r w:rsidRPr="008F65A0">
        <w:rPr>
          <w:color w:val="000000"/>
        </w:rPr>
        <w:t>H</w:t>
      </w:r>
      <w:r>
        <w:rPr>
          <w:color w:val="000000"/>
        </w:rPr>
        <w:t>i’ialakai</w:t>
      </w:r>
      <w:proofErr w:type="spellEnd"/>
      <w:r>
        <w:rPr>
          <w:color w:val="000000"/>
        </w:rPr>
        <w:t>.</w:t>
      </w:r>
    </w:p>
    <w:p w14:paraId="11AAFF47" w14:textId="77CA33F3" w:rsidR="000530E1" w:rsidRDefault="00573916" w:rsidP="00EE4824">
      <w:pPr>
        <w:jc w:val="both"/>
        <w:rPr>
          <w:bCs/>
        </w:rPr>
      </w:pPr>
      <w:hyperlink r:id="rId24" w:history="1">
        <w:r w:rsidR="000530E1" w:rsidRPr="00096C3B">
          <w:rPr>
            <w:rStyle w:val="Hyperlink"/>
            <w:bCs/>
          </w:rPr>
          <w:t>ftp://ftp1.esrl.noaa.gov/psd3/cruises/WHOTS_2015/Hiialakai/Scientific_analysis/report/</w:t>
        </w:r>
      </w:hyperlink>
      <w:r w:rsidR="000530E1">
        <w:rPr>
          <w:bCs/>
        </w:rPr>
        <w:t xml:space="preserve"> </w:t>
      </w:r>
    </w:p>
    <w:p w14:paraId="32D3DA66" w14:textId="77777777" w:rsidR="001F5DBC" w:rsidRDefault="001F5DBC" w:rsidP="00EE4824">
      <w:pPr>
        <w:jc w:val="both"/>
        <w:rPr>
          <w:bCs/>
        </w:rPr>
      </w:pPr>
    </w:p>
    <w:p w14:paraId="23466AFB" w14:textId="31BB3DE2" w:rsidR="001F5DBC" w:rsidRDefault="001F5DBC" w:rsidP="00EE4824">
      <w:pPr>
        <w:jc w:val="both"/>
        <w:rPr>
          <w:bCs/>
        </w:rPr>
      </w:pPr>
      <w:proofErr w:type="spellStart"/>
      <w:r>
        <w:rPr>
          <w:bCs/>
        </w:rPr>
        <w:t>Blomquist</w:t>
      </w:r>
      <w:proofErr w:type="spellEnd"/>
      <w:r>
        <w:rPr>
          <w:bCs/>
        </w:rPr>
        <w:t xml:space="preserve">, B. and C.W. Fairall, 2015: A note on comparisons of PSD ship-based flux measurements and the WHOI </w:t>
      </w:r>
      <w:proofErr w:type="spellStart"/>
      <w:r>
        <w:rPr>
          <w:bCs/>
        </w:rPr>
        <w:t>OAFlux</w:t>
      </w:r>
      <w:proofErr w:type="spellEnd"/>
      <w:r>
        <w:rPr>
          <w:bCs/>
        </w:rPr>
        <w:t xml:space="preserve"> product during CALWATER2.   </w:t>
      </w:r>
    </w:p>
    <w:p w14:paraId="2337F155" w14:textId="77777777" w:rsidR="000530E1" w:rsidRDefault="000530E1" w:rsidP="00EE4824">
      <w:pPr>
        <w:jc w:val="both"/>
        <w:rPr>
          <w:bCs/>
        </w:rPr>
      </w:pPr>
    </w:p>
    <w:p w14:paraId="212E3E4B" w14:textId="77777777" w:rsidR="00263A16" w:rsidRDefault="00263A16" w:rsidP="00263A16">
      <w:r w:rsidRPr="0045553C">
        <w:rPr>
          <w:b/>
          <w:i/>
        </w:rPr>
        <w:t>Attached Publications</w:t>
      </w:r>
    </w:p>
    <w:p w14:paraId="06187ED1" w14:textId="3B9097FA" w:rsidR="00263A16" w:rsidRDefault="00263A16" w:rsidP="00263A16">
      <w:pPr>
        <w:widowControl w:val="0"/>
      </w:pPr>
      <w:r>
        <w:t xml:space="preserve">The referred papers and the conference proceedings are available as .pdf files from </w:t>
      </w:r>
      <w:hyperlink r:id="rId25" w:history="1">
        <w:r w:rsidR="00C61935" w:rsidRPr="00530CA3">
          <w:rPr>
            <w:rStyle w:val="Hyperlink"/>
          </w:rPr>
          <w:t>ftp://ftp1.esrl.noaa.gov/users/cfairall/oceanobs/pubs/fy15/</w:t>
        </w:r>
      </w:hyperlink>
      <w:proofErr w:type="gramStart"/>
      <w:r w:rsidR="00C61935">
        <w:t xml:space="preserve"> </w:t>
      </w:r>
      <w:proofErr w:type="gramEnd"/>
      <w:r w:rsidR="000530E1">
        <w:t xml:space="preserve"> </w:t>
      </w:r>
      <w:r w:rsidR="0039101F">
        <w:t>.</w:t>
      </w:r>
    </w:p>
    <w:p w14:paraId="74C5DAE9" w14:textId="77777777" w:rsidR="00263A16" w:rsidRDefault="00263A16" w:rsidP="00263A16">
      <w:pPr>
        <w:rPr>
          <w:spacing w:val="-3"/>
        </w:rPr>
      </w:pPr>
    </w:p>
    <w:p w14:paraId="45FCE792" w14:textId="77777777" w:rsidR="00263A16" w:rsidRPr="00EE4824" w:rsidRDefault="00263A16" w:rsidP="00EE4824">
      <w:pPr>
        <w:jc w:val="both"/>
        <w:rPr>
          <w:bCs/>
        </w:rPr>
      </w:pPr>
    </w:p>
    <w:p w14:paraId="770218C3" w14:textId="77777777" w:rsidR="0079726F" w:rsidRPr="00324359" w:rsidRDefault="0079726F" w:rsidP="00640647">
      <w:pPr>
        <w:pStyle w:val="Heading2"/>
        <w:framePr w:wrap="auto" w:vAnchor="margin" w:yAlign="inline"/>
        <w:spacing w:before="0"/>
        <w:ind w:firstLine="0"/>
        <w:rPr>
          <w:rFonts w:ascii="Times New Roman" w:hAnsi="Times New Roman"/>
        </w:rPr>
      </w:pPr>
      <w:bookmarkStart w:id="11" w:name="_Toc273610336"/>
      <w:r w:rsidRPr="00324359">
        <w:rPr>
          <w:rFonts w:ascii="Times New Roman" w:hAnsi="Times New Roman"/>
        </w:rPr>
        <w:t>Other Relevant Publications</w:t>
      </w:r>
      <w:bookmarkEnd w:id="11"/>
    </w:p>
    <w:p w14:paraId="267CE954" w14:textId="77777777" w:rsidR="0079726F" w:rsidRPr="00C25483" w:rsidRDefault="0079726F" w:rsidP="0079726F">
      <w:pPr>
        <w:ind w:left="144"/>
      </w:pPr>
    </w:p>
    <w:p w14:paraId="1C0A4ED0" w14:textId="69D0F64F" w:rsidR="008854EA" w:rsidRDefault="005E7A61" w:rsidP="000E1149">
      <w:r>
        <w:t>This project has produced 5</w:t>
      </w:r>
      <w:r w:rsidR="00650B63">
        <w:t>2</w:t>
      </w:r>
      <w:r w:rsidR="008854EA">
        <w:t xml:space="preserve"> refereed publications since beginning in 2003 (see ftp site for cumulative list</w:t>
      </w:r>
      <w:r>
        <w:t>).  So far in calendar year 2015</w:t>
      </w:r>
      <w:r w:rsidR="008854EA">
        <w:t>, these pu</w:t>
      </w:r>
      <w:r w:rsidR="00650B63">
        <w:t>blications received a total of 28</w:t>
      </w:r>
      <w:r w:rsidR="008854EA">
        <w:t xml:space="preserve">2 </w:t>
      </w:r>
      <w:r w:rsidRPr="005E7A61">
        <w:rPr>
          <w:i/>
        </w:rPr>
        <w:t>Google-Scholar</w:t>
      </w:r>
      <w:r>
        <w:t xml:space="preserve"> </w:t>
      </w:r>
      <w:r w:rsidR="008854EA">
        <w:t>citations; cum</w:t>
      </w:r>
      <w:r w:rsidR="000530E1">
        <w:t>ulative total since 2003 is 2902</w:t>
      </w:r>
      <w:r w:rsidR="008854EA">
        <w:t xml:space="preserve"> citations.  One paper </w:t>
      </w:r>
      <w:r w:rsidR="008854EA" w:rsidRPr="005D78C5">
        <w:rPr>
          <w:i/>
        </w:rPr>
        <w:t>(Bulk parameterization of air-sea fluxes: Updates and verification for the COARE algorithm</w:t>
      </w:r>
      <w:r w:rsidR="00650B63">
        <w:t>) has received 1066</w:t>
      </w:r>
      <w:r w:rsidR="008854EA">
        <w:t xml:space="preserve"> citations since publication in 2003.  This paper was cited in Blunden et al., 2011: State of the Climate in 2010.  </w:t>
      </w:r>
      <w:r w:rsidR="008854EA" w:rsidRPr="00541FA1">
        <w:rPr>
          <w:i/>
        </w:rPr>
        <w:t>Bull. Am. Meteor. Soc.,</w:t>
      </w:r>
      <w:r w:rsidR="008854EA">
        <w:t xml:space="preserve"> </w:t>
      </w:r>
      <w:r w:rsidR="008854EA" w:rsidRPr="00541FA1">
        <w:rPr>
          <w:b/>
        </w:rPr>
        <w:t>92</w:t>
      </w:r>
      <w:r w:rsidR="008854EA">
        <w:t>, S1-S266.</w:t>
      </w:r>
    </w:p>
    <w:p w14:paraId="527E38A2" w14:textId="77777777" w:rsidR="008854EA" w:rsidRDefault="008854EA" w:rsidP="008854EA">
      <w:pPr>
        <w:ind w:left="144"/>
      </w:pPr>
    </w:p>
    <w:p w14:paraId="4F4F8C19" w14:textId="77777777" w:rsidR="008854EA" w:rsidRDefault="008854EA" w:rsidP="000E1149">
      <w:r>
        <w:t>Raw, processed, value-added, and synthesized data from this project are freely available at the ftp site (</w:t>
      </w:r>
      <w:hyperlink r:id="rId26" w:history="1">
        <w:r w:rsidRPr="00E832B5">
          <w:rPr>
            <w:rStyle w:val="Hyperlink"/>
          </w:rPr>
          <w:t>ftp://ftp1.esrl.noaa.gov/psd3/cruises/</w:t>
        </w:r>
      </w:hyperlink>
      <w:r>
        <w:t xml:space="preserve"> ).  Use of these data is too extensive to track.  But as an example, the recent NOAA-sponsored field study VOCALS had a number of publications in a special issue of Atmospheric Chemistry and Physics.  At least 10 of those papers used data from this project [Abel et al., Allen et al., </w:t>
      </w:r>
      <w:proofErr w:type="spellStart"/>
      <w:r>
        <w:t>Boutel</w:t>
      </w:r>
      <w:proofErr w:type="spellEnd"/>
      <w:r>
        <w:t xml:space="preserve"> and Able, Bretherton et al., </w:t>
      </w:r>
      <w:proofErr w:type="spellStart"/>
      <w:r>
        <w:t>Brunke</w:t>
      </w:r>
      <w:proofErr w:type="spellEnd"/>
      <w:r>
        <w:t xml:space="preserve"> et al., Georges and Wood, </w:t>
      </w:r>
      <w:proofErr w:type="spellStart"/>
      <w:r>
        <w:t>Jazel</w:t>
      </w:r>
      <w:proofErr w:type="spellEnd"/>
      <w:r>
        <w:t xml:space="preserve"> et al., </w:t>
      </w:r>
      <w:proofErr w:type="spellStart"/>
      <w:r>
        <w:t>Rahn</w:t>
      </w:r>
      <w:proofErr w:type="spellEnd"/>
      <w:r>
        <w:t xml:space="preserve"> and </w:t>
      </w:r>
      <w:proofErr w:type="spellStart"/>
      <w:r>
        <w:t>Garreaud</w:t>
      </w:r>
      <w:proofErr w:type="spellEnd"/>
      <w:r>
        <w:t xml:space="preserve">, Wang et al., </w:t>
      </w:r>
      <w:proofErr w:type="spellStart"/>
      <w:r>
        <w:t>Wyant</w:t>
      </w:r>
      <w:proofErr w:type="spellEnd"/>
      <w:r>
        <w:t xml:space="preserve"> et al.).  As another example, in the recent Southern Ocean GASEX field program special issue in JGR, 7 of the 13 papers used data from this project.</w:t>
      </w:r>
    </w:p>
    <w:p w14:paraId="1AFD1DEE" w14:textId="77777777" w:rsidR="00454D76" w:rsidRDefault="00454D76" w:rsidP="00900587"/>
    <w:p w14:paraId="3F6324B2" w14:textId="2C03706F" w:rsidR="00900587" w:rsidRPr="00324359" w:rsidRDefault="00900587" w:rsidP="00900587">
      <w:pPr>
        <w:rPr>
          <w:b/>
          <w:spacing w:val="-3"/>
          <w:sz w:val="28"/>
          <w:szCs w:val="28"/>
        </w:rPr>
      </w:pPr>
      <w:r w:rsidRPr="00324359">
        <w:rPr>
          <w:b/>
          <w:spacing w:val="-3"/>
          <w:sz w:val="28"/>
          <w:szCs w:val="28"/>
        </w:rPr>
        <w:t xml:space="preserve">5. </w:t>
      </w:r>
      <w:r w:rsidR="00324359">
        <w:rPr>
          <w:b/>
          <w:spacing w:val="-3"/>
          <w:sz w:val="28"/>
          <w:szCs w:val="28"/>
        </w:rPr>
        <w:t xml:space="preserve"> </w:t>
      </w:r>
      <w:r w:rsidRPr="00324359">
        <w:rPr>
          <w:b/>
          <w:spacing w:val="-3"/>
          <w:sz w:val="28"/>
          <w:szCs w:val="28"/>
        </w:rPr>
        <w:t>Slides</w:t>
      </w:r>
    </w:p>
    <w:p w14:paraId="59839C4D" w14:textId="581DFBD0" w:rsidR="00065115" w:rsidRDefault="00442667" w:rsidP="00813A12">
      <w:pPr>
        <w:rPr>
          <w:spacing w:val="-3"/>
        </w:rPr>
      </w:pPr>
      <w:r>
        <w:rPr>
          <w:spacing w:val="-3"/>
        </w:rPr>
        <w:t>Attached separately.</w:t>
      </w:r>
    </w:p>
    <w:p w14:paraId="6AD078EB" w14:textId="7F0EA4B5" w:rsidR="00EC0114" w:rsidRDefault="00EC0114">
      <w:pPr>
        <w:rPr>
          <w:spacing w:val="-3"/>
        </w:rPr>
      </w:pPr>
    </w:p>
    <w:p w14:paraId="1762A441" w14:textId="77777777" w:rsidR="00442667" w:rsidRDefault="00442667">
      <w:pPr>
        <w:rPr>
          <w:spacing w:val="-3"/>
        </w:rPr>
      </w:pPr>
    </w:p>
    <w:p w14:paraId="3E4404CA" w14:textId="77777777" w:rsidR="00442667" w:rsidRDefault="00442667">
      <w:pPr>
        <w:rPr>
          <w:spacing w:val="-3"/>
        </w:rPr>
      </w:pPr>
    </w:p>
    <w:p w14:paraId="5278958B" w14:textId="770DDF5E" w:rsidR="00442667" w:rsidRDefault="00442667">
      <w:pPr>
        <w:rPr>
          <w:spacing w:val="-3"/>
        </w:rPr>
      </w:pPr>
      <w:r>
        <w:rPr>
          <w:spacing w:val="-3"/>
        </w:rPr>
        <w:br w:type="page"/>
      </w:r>
    </w:p>
    <w:p w14:paraId="566CB062" w14:textId="77777777" w:rsidR="00EC0114" w:rsidRPr="00E311EE" w:rsidRDefault="00EC0114" w:rsidP="00EC0114">
      <w:pPr>
        <w:spacing w:line="360" w:lineRule="auto"/>
        <w:ind w:firstLine="360"/>
        <w:jc w:val="both"/>
      </w:pPr>
    </w:p>
    <w:p w14:paraId="22B77A31" w14:textId="4B6CCFF3" w:rsidR="00EC0114" w:rsidRPr="00E50FAD" w:rsidRDefault="003F7F32" w:rsidP="00EC0114">
      <w:r w:rsidRPr="003F7F32">
        <w:rPr>
          <w:rFonts w:eastAsia="Times New Roman"/>
          <w:noProof/>
          <w:szCs w:val="20"/>
        </w:rPr>
        <w:drawing>
          <wp:inline distT="0" distB="0" distL="0" distR="0" wp14:anchorId="2F3F795D" wp14:editId="17FC76F8">
            <wp:extent cx="5476875" cy="7315200"/>
            <wp:effectExtent l="0" t="0" r="9525" b="0"/>
            <wp:docPr id="10" name="Picture 10" descr="IMG_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18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76875" cy="7315200"/>
                    </a:xfrm>
                    <a:prstGeom prst="rect">
                      <a:avLst/>
                    </a:prstGeom>
                    <a:noFill/>
                    <a:ln>
                      <a:noFill/>
                    </a:ln>
                  </pic:spPr>
                </pic:pic>
              </a:graphicData>
            </a:graphic>
          </wp:inline>
        </w:drawing>
      </w:r>
    </w:p>
    <w:p w14:paraId="73D7746D" w14:textId="77777777" w:rsidR="00EC0114" w:rsidRPr="00E50FAD" w:rsidRDefault="00EC0114" w:rsidP="00EC0114"/>
    <w:p w14:paraId="2B9A7681" w14:textId="54F9F3F6" w:rsidR="00EC0114" w:rsidRPr="00E50FAD" w:rsidRDefault="00EC0114" w:rsidP="00EC0114">
      <w:pPr>
        <w:rPr>
          <w:lang w:val="en-AU"/>
        </w:rPr>
      </w:pPr>
      <w:r>
        <w:rPr>
          <w:b/>
          <w:lang w:val="en-AU"/>
        </w:rPr>
        <w:t xml:space="preserve">Figure </w:t>
      </w:r>
      <w:r w:rsidR="00454D76">
        <w:rPr>
          <w:b/>
          <w:lang w:val="en-AU"/>
        </w:rPr>
        <w:t>1</w:t>
      </w:r>
      <w:r w:rsidRPr="00E50FAD">
        <w:rPr>
          <w:b/>
          <w:lang w:val="en-AU"/>
        </w:rPr>
        <w:t>.</w:t>
      </w:r>
      <w:r w:rsidRPr="00E50FAD">
        <w:rPr>
          <w:lang w:val="en-AU"/>
        </w:rPr>
        <w:t xml:space="preserve">  </w:t>
      </w:r>
      <w:r w:rsidR="003F7F32">
        <w:t>PSD flux instruments on the RHB jackstaff for CALWATER2 2015</w:t>
      </w:r>
      <w:r>
        <w:t>.</w:t>
      </w:r>
    </w:p>
    <w:p w14:paraId="0AE63484" w14:textId="34089EE1" w:rsidR="00EC0114" w:rsidRPr="00E50FAD" w:rsidRDefault="00EC0114" w:rsidP="00EC0114">
      <w:pPr>
        <w:spacing w:after="200" w:line="276" w:lineRule="auto"/>
      </w:pPr>
    </w:p>
    <w:p w14:paraId="183A8608" w14:textId="498A6B53" w:rsidR="00EC0114" w:rsidRDefault="00EC0114" w:rsidP="00EC0114"/>
    <w:p w14:paraId="6BCD219C" w14:textId="247EF09A" w:rsidR="003F7F32" w:rsidRDefault="003F7F32" w:rsidP="003F7F32">
      <w:pPr>
        <w:widowControl w:val="0"/>
      </w:pPr>
      <w:r w:rsidRPr="001B65AB">
        <w:rPr>
          <w:noProof/>
        </w:rPr>
        <w:drawing>
          <wp:inline distT="0" distB="0" distL="0" distR="0" wp14:anchorId="1C8D178C" wp14:editId="34F4A60E">
            <wp:extent cx="5387487" cy="4021157"/>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l="5231" t="4457" r="5649" b="6964"/>
                    <a:stretch>
                      <a:fillRect/>
                    </a:stretch>
                  </pic:blipFill>
                  <pic:spPr bwMode="auto">
                    <a:xfrm>
                      <a:off x="0" y="0"/>
                      <a:ext cx="5420900" cy="4046096"/>
                    </a:xfrm>
                    <a:prstGeom prst="rect">
                      <a:avLst/>
                    </a:prstGeom>
                    <a:noFill/>
                    <a:ln>
                      <a:noFill/>
                    </a:ln>
                  </pic:spPr>
                </pic:pic>
              </a:graphicData>
            </a:graphic>
          </wp:inline>
        </w:drawing>
      </w:r>
    </w:p>
    <w:p w14:paraId="28933397" w14:textId="77777777" w:rsidR="00326A5A" w:rsidRDefault="00326A5A" w:rsidP="003F7F32">
      <w:pPr>
        <w:widowControl w:val="0"/>
        <w:rPr>
          <w:b/>
        </w:rPr>
      </w:pPr>
    </w:p>
    <w:p w14:paraId="378F5003" w14:textId="1C36AFAB" w:rsidR="00C61935" w:rsidRDefault="003F7F32" w:rsidP="003F7F32">
      <w:pPr>
        <w:widowControl w:val="0"/>
      </w:pPr>
      <w:r w:rsidRPr="003F7F32">
        <w:rPr>
          <w:b/>
        </w:rPr>
        <w:t>Figure 2</w:t>
      </w:r>
      <w:r>
        <w:t xml:space="preserve">.  RHB cruise track for CALWATER2.  </w:t>
      </w:r>
    </w:p>
    <w:p w14:paraId="78FE0025" w14:textId="77777777" w:rsidR="00C61935" w:rsidRDefault="00C61935">
      <w:r>
        <w:br w:type="page"/>
      </w:r>
    </w:p>
    <w:p w14:paraId="5CE11FDC" w14:textId="06212BF4" w:rsidR="00C61935" w:rsidRDefault="00C61935" w:rsidP="00C61935">
      <w:pPr>
        <w:widowControl w:val="0"/>
        <w:rPr>
          <w:b/>
        </w:rPr>
      </w:pPr>
      <w:r w:rsidRPr="00326A5A">
        <w:rPr>
          <w:noProof/>
        </w:rPr>
        <w:lastRenderedPageBreak/>
        <w:drawing>
          <wp:anchor distT="0" distB="0" distL="114300" distR="114300" simplePos="0" relativeHeight="251659264" behindDoc="1" locked="0" layoutInCell="1" allowOverlap="1" wp14:anchorId="49FC9D5E" wp14:editId="78C7E0C8">
            <wp:simplePos x="0" y="0"/>
            <wp:positionH relativeFrom="column">
              <wp:posOffset>-308610</wp:posOffset>
            </wp:positionH>
            <wp:positionV relativeFrom="paragraph">
              <wp:posOffset>0</wp:posOffset>
            </wp:positionV>
            <wp:extent cx="3040380" cy="4276725"/>
            <wp:effectExtent l="0" t="0" r="7620" b="9525"/>
            <wp:wrapTight wrapText="bothSides">
              <wp:wrapPolygon edited="0">
                <wp:start x="0" y="0"/>
                <wp:lineTo x="0" y="21552"/>
                <wp:lineTo x="21519" y="21552"/>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w_masts.JPG"/>
                    <pic:cNvPicPr/>
                  </pic:nvPicPr>
                  <pic:blipFill rotWithShape="1">
                    <a:blip r:embed="rId29" cstate="print">
                      <a:extLst>
                        <a:ext uri="{28A0092B-C50C-407E-A947-70E740481C1C}">
                          <a14:useLocalDpi xmlns:a14="http://schemas.microsoft.com/office/drawing/2010/main" val="0"/>
                        </a:ext>
                      </a:extLst>
                    </a:blip>
                    <a:srcRect l="1" r="18255" b="23352"/>
                    <a:stretch/>
                  </pic:blipFill>
                  <pic:spPr bwMode="auto">
                    <a:xfrm>
                      <a:off x="0" y="0"/>
                      <a:ext cx="3040380" cy="427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ABCA939" wp14:editId="02EA6C20">
            <wp:simplePos x="0" y="0"/>
            <wp:positionH relativeFrom="column">
              <wp:posOffset>3048000</wp:posOffset>
            </wp:positionH>
            <wp:positionV relativeFrom="paragraph">
              <wp:posOffset>413</wp:posOffset>
            </wp:positionV>
            <wp:extent cx="2863850" cy="4287520"/>
            <wp:effectExtent l="0" t="0" r="0" b="0"/>
            <wp:wrapTight wrapText="bothSides">
              <wp:wrapPolygon edited="0">
                <wp:start x="0" y="0"/>
                <wp:lineTo x="0" y="21498"/>
                <wp:lineTo x="21408" y="21498"/>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kuliaq_SeaState_002.jpg"/>
                    <pic:cNvPicPr/>
                  </pic:nvPicPr>
                  <pic:blipFill>
                    <a:blip r:embed="rId30">
                      <a:extLst>
                        <a:ext uri="{28A0092B-C50C-407E-A947-70E740481C1C}">
                          <a14:useLocalDpi xmlns:a14="http://schemas.microsoft.com/office/drawing/2010/main" val="0"/>
                        </a:ext>
                      </a:extLst>
                    </a:blip>
                    <a:stretch>
                      <a:fillRect/>
                    </a:stretch>
                  </pic:blipFill>
                  <pic:spPr>
                    <a:xfrm>
                      <a:off x="0" y="0"/>
                      <a:ext cx="2863850" cy="4287520"/>
                    </a:xfrm>
                    <a:prstGeom prst="rect">
                      <a:avLst/>
                    </a:prstGeom>
                  </pic:spPr>
                </pic:pic>
              </a:graphicData>
            </a:graphic>
            <wp14:sizeRelH relativeFrom="page">
              <wp14:pctWidth>0</wp14:pctWidth>
            </wp14:sizeRelH>
            <wp14:sizeRelV relativeFrom="page">
              <wp14:pctHeight>0</wp14:pctHeight>
            </wp14:sizeRelV>
          </wp:anchor>
        </w:drawing>
      </w:r>
    </w:p>
    <w:p w14:paraId="439024A6" w14:textId="77777777" w:rsidR="00C61935" w:rsidRDefault="00C61935" w:rsidP="00326A5A">
      <w:pPr>
        <w:rPr>
          <w:b/>
        </w:rPr>
      </w:pPr>
    </w:p>
    <w:p w14:paraId="3327C96F" w14:textId="3C9AAF8A" w:rsidR="00326A5A" w:rsidRDefault="00326A5A" w:rsidP="00326A5A">
      <w:r w:rsidRPr="00326A5A">
        <w:rPr>
          <w:b/>
        </w:rPr>
        <w:t>Figure 3</w:t>
      </w:r>
      <w:r>
        <w:t xml:space="preserve">.  PSD turbulence sensors mounted on the </w:t>
      </w:r>
      <w:r w:rsidRPr="0057396F">
        <w:rPr>
          <w:i/>
        </w:rPr>
        <w:t xml:space="preserve">R/V </w:t>
      </w:r>
      <w:proofErr w:type="spellStart"/>
      <w:r w:rsidRPr="0057396F">
        <w:rPr>
          <w:i/>
        </w:rPr>
        <w:t>Sikuliaq</w:t>
      </w:r>
      <w:proofErr w:type="spellEnd"/>
      <w:r w:rsidRPr="0057396F">
        <w:rPr>
          <w:i/>
        </w:rPr>
        <w:t xml:space="preserve"> f</w:t>
      </w:r>
      <w:r>
        <w:t>oremast in Nome, AK</w:t>
      </w:r>
      <w:r w:rsidR="005073D9">
        <w:t xml:space="preserve"> (left) and in the field N. of </w:t>
      </w:r>
      <w:proofErr w:type="spellStart"/>
      <w:r w:rsidR="005073D9">
        <w:t>Prudoe</w:t>
      </w:r>
      <w:proofErr w:type="spellEnd"/>
      <w:r w:rsidR="005073D9">
        <w:t xml:space="preserve"> Bay, AK (right)</w:t>
      </w:r>
      <w:r>
        <w:t>.  PSD installed a second mast on the bow with duplicate sensors.  The sensors include two sonic anemometer/thermometers, a ship motion system, fast humidity and fast pressure sensors, mean temperature and relative humidity, rain/snow rate, and a scanning lidar wave sensor. Radiative flux and IR sea surface sensors are mounted elsewhere.</w:t>
      </w:r>
    </w:p>
    <w:p w14:paraId="1205141A" w14:textId="77777777" w:rsidR="00277EF3" w:rsidRDefault="00277EF3" w:rsidP="00EC0114"/>
    <w:p w14:paraId="67E0EEAD" w14:textId="5AEA35F5" w:rsidR="00277EF3" w:rsidRDefault="00277EF3" w:rsidP="00EC0114"/>
    <w:p w14:paraId="478F2178" w14:textId="085446DB" w:rsidR="00563A5A" w:rsidRDefault="00563A5A" w:rsidP="00EC0114"/>
    <w:p w14:paraId="5903E683" w14:textId="77777777" w:rsidR="00563A5A" w:rsidRDefault="00563A5A" w:rsidP="00EC0114"/>
    <w:p w14:paraId="13019A67" w14:textId="737FFD52" w:rsidR="001F5DBC" w:rsidRDefault="001F5DBC" w:rsidP="001F5DBC">
      <w:r>
        <w:br w:type="page"/>
      </w:r>
      <w:r>
        <w:rPr>
          <w:noProof/>
        </w:rPr>
        <w:lastRenderedPageBreak/>
        <w:drawing>
          <wp:inline distT="0" distB="0" distL="0" distR="0" wp14:anchorId="04853C45" wp14:editId="0665C5FD">
            <wp:extent cx="4241494" cy="347198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Water_2015_OAFlux_hs_Comparison.png"/>
                    <pic:cNvPicPr/>
                  </pic:nvPicPr>
                  <pic:blipFill rotWithShape="1">
                    <a:blip r:embed="rId31">
                      <a:extLst>
                        <a:ext uri="{28A0092B-C50C-407E-A947-70E740481C1C}">
                          <a14:useLocalDpi xmlns:a14="http://schemas.microsoft.com/office/drawing/2010/main" val="0"/>
                        </a:ext>
                      </a:extLst>
                    </a:blip>
                    <a:srcRect l="6188" t="2000" r="6990" b="3240"/>
                    <a:stretch/>
                  </pic:blipFill>
                  <pic:spPr bwMode="auto">
                    <a:xfrm>
                      <a:off x="0" y="0"/>
                      <a:ext cx="4274162" cy="3498727"/>
                    </a:xfrm>
                    <a:prstGeom prst="rect">
                      <a:avLst/>
                    </a:prstGeom>
                    <a:ln>
                      <a:noFill/>
                    </a:ln>
                    <a:extLst>
                      <a:ext uri="{53640926-AAD7-44D8-BBD7-CCE9431645EC}">
                        <a14:shadowObscured xmlns:a14="http://schemas.microsoft.com/office/drawing/2010/main"/>
                      </a:ext>
                    </a:extLst>
                  </pic:spPr>
                </pic:pic>
              </a:graphicData>
            </a:graphic>
          </wp:inline>
        </w:drawing>
      </w:r>
    </w:p>
    <w:p w14:paraId="3F8D14F8" w14:textId="77777777" w:rsidR="001F5DBC" w:rsidRDefault="001F5DBC" w:rsidP="001F5DBC">
      <w:r>
        <w:rPr>
          <w:noProof/>
        </w:rPr>
        <w:drawing>
          <wp:inline distT="0" distB="0" distL="0" distR="0" wp14:anchorId="096920C1" wp14:editId="211A352D">
            <wp:extent cx="4351655" cy="3336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Water_2015_OAFlux_hl_Comparison.png"/>
                    <pic:cNvPicPr/>
                  </pic:nvPicPr>
                  <pic:blipFill rotWithShape="1">
                    <a:blip r:embed="rId32">
                      <a:extLst>
                        <a:ext uri="{28A0092B-C50C-407E-A947-70E740481C1C}">
                          <a14:useLocalDpi xmlns:a14="http://schemas.microsoft.com/office/drawing/2010/main" val="0"/>
                        </a:ext>
                      </a:extLst>
                    </a:blip>
                    <a:srcRect l="3808" t="3046" r="5575" b="4306"/>
                    <a:stretch/>
                  </pic:blipFill>
                  <pic:spPr bwMode="auto">
                    <a:xfrm>
                      <a:off x="0" y="0"/>
                      <a:ext cx="4391299" cy="3367281"/>
                    </a:xfrm>
                    <a:prstGeom prst="rect">
                      <a:avLst/>
                    </a:prstGeom>
                    <a:ln>
                      <a:noFill/>
                    </a:ln>
                    <a:extLst>
                      <a:ext uri="{53640926-AAD7-44D8-BBD7-CCE9431645EC}">
                        <a14:shadowObscured xmlns:a14="http://schemas.microsoft.com/office/drawing/2010/main"/>
                      </a:ext>
                    </a:extLst>
                  </pic:spPr>
                </pic:pic>
              </a:graphicData>
            </a:graphic>
          </wp:inline>
        </w:drawing>
      </w:r>
    </w:p>
    <w:p w14:paraId="226A46BC" w14:textId="2CD61336" w:rsidR="001F5DBC" w:rsidRDefault="00C61935" w:rsidP="001F5DBC">
      <w:r>
        <w:rPr>
          <w:b/>
        </w:rPr>
        <w:t>Figure 4</w:t>
      </w:r>
      <w:r w:rsidR="001F5DBC" w:rsidRPr="00326A5A">
        <w:rPr>
          <w:b/>
        </w:rPr>
        <w:t>.</w:t>
      </w:r>
      <w:r w:rsidR="001F5DBC">
        <w:t xml:space="preserve">  Time series of daily averaged heat flux for the Ronald H. Brown (RHB) and the co-located </w:t>
      </w:r>
      <w:proofErr w:type="spellStart"/>
      <w:r w:rsidR="001F5DBC">
        <w:t>OAFlux</w:t>
      </w:r>
      <w:proofErr w:type="spellEnd"/>
      <w:r w:rsidR="001F5DBC">
        <w:t xml:space="preserve"> </w:t>
      </w:r>
      <w:proofErr w:type="spellStart"/>
      <w:r w:rsidR="001F5DBC">
        <w:t>gridpoint</w:t>
      </w:r>
      <w:proofErr w:type="spellEnd"/>
      <w:r w:rsidR="001F5DBC">
        <w:t xml:space="preserve">.  </w:t>
      </w:r>
      <w:proofErr w:type="spellStart"/>
      <w:r w:rsidR="001F5DBC" w:rsidRPr="001F393E">
        <w:rPr>
          <w:i/>
        </w:rPr>
        <w:t>Turb</w:t>
      </w:r>
      <w:proofErr w:type="spellEnd"/>
      <w:r w:rsidR="001F5DBC">
        <w:t xml:space="preserve"> refers to directly measured flux and</w:t>
      </w:r>
      <w:r w:rsidR="001F5DBC" w:rsidRPr="001F393E">
        <w:rPr>
          <w:i/>
        </w:rPr>
        <w:t xml:space="preserve"> bulk </w:t>
      </w:r>
      <w:r w:rsidR="001F5DBC">
        <w:t>refers to computations from mean variables using COARE.  Upper panel, sensible heat; lower panel, latent heat.</w:t>
      </w:r>
    </w:p>
    <w:p w14:paraId="62286F90" w14:textId="77777777" w:rsidR="001F5DBC" w:rsidRDefault="001F5DBC" w:rsidP="001F5DBC"/>
    <w:p w14:paraId="444CDC47" w14:textId="77777777" w:rsidR="001F5DBC" w:rsidRDefault="001F5DBC" w:rsidP="001F5DBC">
      <w:r>
        <w:rPr>
          <w:noProof/>
        </w:rPr>
        <w:lastRenderedPageBreak/>
        <w:drawing>
          <wp:inline distT="0" distB="0" distL="0" distR="0" wp14:anchorId="0576C782" wp14:editId="38D076A2">
            <wp:extent cx="4603183" cy="3591499"/>
            <wp:effectExtent l="0" t="0" r="698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Water_2015_JD26_u10n_map.png"/>
                    <pic:cNvPicPr/>
                  </pic:nvPicPr>
                  <pic:blipFill rotWithShape="1">
                    <a:blip r:embed="rId33">
                      <a:extLst>
                        <a:ext uri="{28A0092B-C50C-407E-A947-70E740481C1C}">
                          <a14:useLocalDpi xmlns:a14="http://schemas.microsoft.com/office/drawing/2010/main" val="0"/>
                        </a:ext>
                      </a:extLst>
                    </a:blip>
                    <a:srcRect l="2410" t="1338" r="6225" b="3614"/>
                    <a:stretch/>
                  </pic:blipFill>
                  <pic:spPr bwMode="auto">
                    <a:xfrm>
                      <a:off x="0" y="0"/>
                      <a:ext cx="4614780" cy="3600547"/>
                    </a:xfrm>
                    <a:prstGeom prst="rect">
                      <a:avLst/>
                    </a:prstGeom>
                    <a:ln>
                      <a:noFill/>
                    </a:ln>
                    <a:extLst>
                      <a:ext uri="{53640926-AAD7-44D8-BBD7-CCE9431645EC}">
                        <a14:shadowObscured xmlns:a14="http://schemas.microsoft.com/office/drawing/2010/main"/>
                      </a:ext>
                    </a:extLst>
                  </pic:spPr>
                </pic:pic>
              </a:graphicData>
            </a:graphic>
          </wp:inline>
        </w:drawing>
      </w:r>
    </w:p>
    <w:p w14:paraId="53AB5806" w14:textId="77777777" w:rsidR="001F5DBC" w:rsidRDefault="001F5DBC" w:rsidP="001F5DBC"/>
    <w:p w14:paraId="6F5CBBEA" w14:textId="77777777" w:rsidR="001F5DBC" w:rsidRDefault="001F5DBC" w:rsidP="001F5DBC">
      <w:r>
        <w:rPr>
          <w:noProof/>
        </w:rPr>
        <w:drawing>
          <wp:inline distT="0" distB="0" distL="0" distR="0" wp14:anchorId="3063E55E" wp14:editId="036309B0">
            <wp:extent cx="4726236" cy="370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Water_2015_JD26_hl_map.png"/>
                    <pic:cNvPicPr/>
                  </pic:nvPicPr>
                  <pic:blipFill rotWithShape="1">
                    <a:blip r:embed="rId34">
                      <a:extLst>
                        <a:ext uri="{28A0092B-C50C-407E-A947-70E740481C1C}">
                          <a14:useLocalDpi xmlns:a14="http://schemas.microsoft.com/office/drawing/2010/main" val="0"/>
                        </a:ext>
                      </a:extLst>
                    </a:blip>
                    <a:srcRect l="3816" t="1072" r="4418" b="3079"/>
                    <a:stretch/>
                  </pic:blipFill>
                  <pic:spPr bwMode="auto">
                    <a:xfrm>
                      <a:off x="0" y="0"/>
                      <a:ext cx="4734009" cy="3708489"/>
                    </a:xfrm>
                    <a:prstGeom prst="rect">
                      <a:avLst/>
                    </a:prstGeom>
                    <a:ln>
                      <a:noFill/>
                    </a:ln>
                    <a:extLst>
                      <a:ext uri="{53640926-AAD7-44D8-BBD7-CCE9431645EC}">
                        <a14:shadowObscured xmlns:a14="http://schemas.microsoft.com/office/drawing/2010/main"/>
                      </a:ext>
                    </a:extLst>
                  </pic:spPr>
                </pic:pic>
              </a:graphicData>
            </a:graphic>
          </wp:inline>
        </w:drawing>
      </w:r>
    </w:p>
    <w:p w14:paraId="6409C87D" w14:textId="77777777" w:rsidR="00C61935" w:rsidRDefault="00C61935" w:rsidP="001F5DBC"/>
    <w:p w14:paraId="53A1E2C3" w14:textId="25846993" w:rsidR="001F5DBC" w:rsidRPr="006E6A80" w:rsidRDefault="00C61935" w:rsidP="001F5DBC">
      <w:r>
        <w:rPr>
          <w:b/>
        </w:rPr>
        <w:t>Figure 5</w:t>
      </w:r>
      <w:r w:rsidR="001F5DBC" w:rsidRPr="00C61935">
        <w:rPr>
          <w:b/>
        </w:rPr>
        <w:t>.</w:t>
      </w:r>
      <w:r w:rsidR="001F5DBC">
        <w:t xml:space="preserve">  Gridded fields from </w:t>
      </w:r>
      <w:proofErr w:type="spellStart"/>
      <w:r w:rsidR="001F5DBC">
        <w:t>OAFlux</w:t>
      </w:r>
      <w:proofErr w:type="spellEnd"/>
      <w:r w:rsidR="001F5DBC">
        <w:t xml:space="preserve"> product for Jan. 26, 2015: upper panel, </w:t>
      </w:r>
      <w:r w:rsidR="001F5DBC" w:rsidRPr="001A33A7">
        <w:rPr>
          <w:i/>
        </w:rPr>
        <w:t>U</w:t>
      </w:r>
      <w:r w:rsidR="001F5DBC" w:rsidRPr="001A33A7">
        <w:rPr>
          <w:i/>
          <w:vertAlign w:val="subscript"/>
        </w:rPr>
        <w:t>10</w:t>
      </w:r>
      <w:r w:rsidR="001F5DBC">
        <w:t>; lower panel, latent heat flux.</w:t>
      </w:r>
    </w:p>
    <w:p w14:paraId="6DFB0F0D" w14:textId="77777777" w:rsidR="00053F9C" w:rsidRDefault="00053F9C" w:rsidP="005D7D0F"/>
    <w:sectPr w:rsidR="00053F9C" w:rsidSect="0086284F">
      <w:footerReference w:type="default" r:id="rId3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1050" w14:textId="77777777" w:rsidR="00573916" w:rsidRDefault="00573916" w:rsidP="00065115">
      <w:r>
        <w:separator/>
      </w:r>
    </w:p>
  </w:endnote>
  <w:endnote w:type="continuationSeparator" w:id="0">
    <w:p w14:paraId="070350AD" w14:textId="77777777" w:rsidR="00573916" w:rsidRDefault="00573916" w:rsidP="0006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733E" w14:textId="53A6AD61" w:rsidR="009B792B" w:rsidRPr="004321FC" w:rsidRDefault="00573916" w:rsidP="00065115">
    <w:pPr>
      <w:pStyle w:val="Footer"/>
      <w:tabs>
        <w:tab w:val="clear" w:pos="4680"/>
      </w:tabs>
      <w:rPr>
        <w:i/>
        <w:iCs/>
        <w:color w:val="8C8C8C"/>
      </w:rPr>
    </w:pPr>
    <w:r>
      <w:rPr>
        <w:i/>
        <w:iCs/>
        <w:color w:val="8C8C8C"/>
      </w:rPr>
      <w:pict w14:anchorId="77B6B9CA">
        <v:rect id="_x0000_i1025" style="width:0;height:1.5pt" o:hralign="center" o:hrstd="t" o:hr="t" fillcolor="gray" stroked="f"/>
      </w:pict>
    </w:r>
    <w:r w:rsidR="00656341">
      <w:rPr>
        <w:i/>
        <w:iCs/>
        <w:color w:val="8C8C8C"/>
      </w:rPr>
      <w:t xml:space="preserve"> FY2015</w:t>
    </w:r>
    <w:r w:rsidR="009B792B">
      <w:rPr>
        <w:i/>
        <w:iCs/>
        <w:color w:val="8C8C8C"/>
      </w:rPr>
      <w:t xml:space="preserve"> Annual</w:t>
    </w:r>
    <w:r w:rsidR="00865092">
      <w:rPr>
        <w:i/>
        <w:iCs/>
        <w:color w:val="8C8C8C"/>
      </w:rPr>
      <w:t xml:space="preserve"> Report: High Resolution Data from Ships</w:t>
    </w:r>
    <w:r w:rsidR="009B792B" w:rsidRPr="00AA11AE">
      <w:rPr>
        <w:i/>
        <w:iCs/>
        <w:color w:val="8C8C8C"/>
      </w:rPr>
      <w:t xml:space="preserve"> </w:t>
    </w:r>
    <w:r w:rsidR="009B792B">
      <w:rPr>
        <w:i/>
        <w:iCs/>
        <w:color w:val="8C8C8C"/>
      </w:rPr>
      <w:tab/>
      <w:t xml:space="preserve">Page </w:t>
    </w:r>
    <w:r w:rsidR="009B792B">
      <w:fldChar w:fldCharType="begin"/>
    </w:r>
    <w:r w:rsidR="009B792B">
      <w:instrText xml:space="preserve"> PAGE  \* Arabic  \* MERGEFORMAT </w:instrText>
    </w:r>
    <w:r w:rsidR="009B792B">
      <w:fldChar w:fldCharType="separate"/>
    </w:r>
    <w:r w:rsidR="0035382D" w:rsidRPr="0035382D">
      <w:rPr>
        <w:i/>
        <w:iCs/>
        <w:noProof/>
        <w:color w:val="8C8C8C"/>
      </w:rPr>
      <w:t>12</w:t>
    </w:r>
    <w:r w:rsidR="009B792B">
      <w:fldChar w:fldCharType="end"/>
    </w:r>
    <w:r w:rsidR="009B792B">
      <w:rPr>
        <w:i/>
        <w:iCs/>
        <w:color w:val="8C8C8C"/>
      </w:rPr>
      <w:t xml:space="preserve"> of </w:t>
    </w:r>
    <w:fldSimple w:instr=" NUMPAGES  \* MERGEFORMAT ">
      <w:r w:rsidR="0035382D" w:rsidRPr="0035382D">
        <w:rPr>
          <w:i/>
          <w:iCs/>
          <w:noProof/>
          <w:color w:val="8C8C8C"/>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B167" w14:textId="77777777" w:rsidR="00573916" w:rsidRDefault="00573916" w:rsidP="00065115">
      <w:r>
        <w:separator/>
      </w:r>
    </w:p>
  </w:footnote>
  <w:footnote w:type="continuationSeparator" w:id="0">
    <w:p w14:paraId="6BAAD027" w14:textId="77777777" w:rsidR="00573916" w:rsidRDefault="00573916" w:rsidP="00065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1DB6"/>
    <w:multiLevelType w:val="hybridMultilevel"/>
    <w:tmpl w:val="F75E6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17263"/>
    <w:multiLevelType w:val="hybridMultilevel"/>
    <w:tmpl w:val="3112FE9C"/>
    <w:lvl w:ilvl="0" w:tplc="DE8C41F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25E7"/>
    <w:multiLevelType w:val="hybridMultilevel"/>
    <w:tmpl w:val="999E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30EB"/>
    <w:multiLevelType w:val="hybridMultilevel"/>
    <w:tmpl w:val="AB264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7973"/>
    <w:multiLevelType w:val="hybridMultilevel"/>
    <w:tmpl w:val="21A2BEF4"/>
    <w:lvl w:ilvl="0" w:tplc="54D87E4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56794"/>
    <w:multiLevelType w:val="hybridMultilevel"/>
    <w:tmpl w:val="C896D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815B7"/>
    <w:multiLevelType w:val="hybridMultilevel"/>
    <w:tmpl w:val="7FD8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83BC4"/>
    <w:multiLevelType w:val="hybridMultilevel"/>
    <w:tmpl w:val="41D01F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E5943"/>
    <w:multiLevelType w:val="hybridMultilevel"/>
    <w:tmpl w:val="807482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E4009"/>
    <w:multiLevelType w:val="hybridMultilevel"/>
    <w:tmpl w:val="F874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75EB9"/>
    <w:multiLevelType w:val="hybridMultilevel"/>
    <w:tmpl w:val="58785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B002E0"/>
    <w:multiLevelType w:val="hybridMultilevel"/>
    <w:tmpl w:val="E7B8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92C4D"/>
    <w:multiLevelType w:val="hybridMultilevel"/>
    <w:tmpl w:val="5FCA4BFA"/>
    <w:lvl w:ilvl="0" w:tplc="4C3ADD38">
      <w:start w:val="1"/>
      <w:numFmt w:val="lowerLetter"/>
      <w:lvlText w:val="(%1)"/>
      <w:lvlJc w:val="left"/>
      <w:pPr>
        <w:ind w:left="100" w:hanging="327"/>
      </w:pPr>
      <w:rPr>
        <w:rFonts w:ascii="Times New Roman" w:eastAsia="Times New Roman" w:hAnsi="Times New Roman" w:cs="Times New Roman" w:hint="default"/>
        <w:w w:val="99"/>
        <w:sz w:val="24"/>
        <w:szCs w:val="24"/>
      </w:rPr>
    </w:lvl>
    <w:lvl w:ilvl="1" w:tplc="42CCD6FC">
      <w:start w:val="1"/>
      <w:numFmt w:val="lowerLetter"/>
      <w:lvlText w:val="%2)"/>
      <w:lvlJc w:val="left"/>
      <w:pPr>
        <w:ind w:left="910" w:hanging="558"/>
      </w:pPr>
      <w:rPr>
        <w:rFonts w:ascii="Arial" w:eastAsia="Arial" w:hAnsi="Arial" w:cs="Times New Roman" w:hint="default"/>
        <w:color w:val="231F20"/>
        <w:spacing w:val="-1"/>
        <w:w w:val="99"/>
        <w:position w:val="-10"/>
        <w:sz w:val="19"/>
        <w:szCs w:val="19"/>
      </w:rPr>
    </w:lvl>
    <w:lvl w:ilvl="2" w:tplc="0DCCA7D2">
      <w:start w:val="1"/>
      <w:numFmt w:val="bullet"/>
      <w:lvlText w:val="•"/>
      <w:lvlJc w:val="left"/>
      <w:pPr>
        <w:ind w:left="1980" w:hanging="558"/>
      </w:pPr>
    </w:lvl>
    <w:lvl w:ilvl="3" w:tplc="AB64966C">
      <w:start w:val="1"/>
      <w:numFmt w:val="bullet"/>
      <w:lvlText w:val="•"/>
      <w:lvlJc w:val="left"/>
      <w:pPr>
        <w:ind w:left="3050" w:hanging="558"/>
      </w:pPr>
    </w:lvl>
    <w:lvl w:ilvl="4" w:tplc="145A432C">
      <w:start w:val="1"/>
      <w:numFmt w:val="bullet"/>
      <w:lvlText w:val="•"/>
      <w:lvlJc w:val="left"/>
      <w:pPr>
        <w:ind w:left="4120" w:hanging="558"/>
      </w:pPr>
    </w:lvl>
    <w:lvl w:ilvl="5" w:tplc="41DC221E">
      <w:start w:val="1"/>
      <w:numFmt w:val="bullet"/>
      <w:lvlText w:val="•"/>
      <w:lvlJc w:val="left"/>
      <w:pPr>
        <w:ind w:left="5190" w:hanging="558"/>
      </w:pPr>
    </w:lvl>
    <w:lvl w:ilvl="6" w:tplc="56F2F91C">
      <w:start w:val="1"/>
      <w:numFmt w:val="bullet"/>
      <w:lvlText w:val="•"/>
      <w:lvlJc w:val="left"/>
      <w:pPr>
        <w:ind w:left="6260" w:hanging="558"/>
      </w:pPr>
    </w:lvl>
    <w:lvl w:ilvl="7" w:tplc="438220E2">
      <w:start w:val="1"/>
      <w:numFmt w:val="bullet"/>
      <w:lvlText w:val="•"/>
      <w:lvlJc w:val="left"/>
      <w:pPr>
        <w:ind w:left="7330" w:hanging="558"/>
      </w:pPr>
    </w:lvl>
    <w:lvl w:ilvl="8" w:tplc="CC14D956">
      <w:start w:val="1"/>
      <w:numFmt w:val="bullet"/>
      <w:lvlText w:val="•"/>
      <w:lvlJc w:val="left"/>
      <w:pPr>
        <w:ind w:left="8400" w:hanging="558"/>
      </w:pPr>
    </w:lvl>
  </w:abstractNum>
  <w:abstractNum w:abstractNumId="13" w15:restartNumberingAfterBreak="0">
    <w:nsid w:val="405B305C"/>
    <w:multiLevelType w:val="hybridMultilevel"/>
    <w:tmpl w:val="03A4E35C"/>
    <w:lvl w:ilvl="0" w:tplc="AA784FCE">
      <w:start w:val="1"/>
      <w:numFmt w:val="lowerLetter"/>
      <w:lvlText w:val="%1."/>
      <w:lvlJc w:val="left"/>
      <w:pPr>
        <w:ind w:left="3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4FC5700B"/>
    <w:multiLevelType w:val="hybridMultilevel"/>
    <w:tmpl w:val="492A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E87F63"/>
    <w:multiLevelType w:val="hybridMultilevel"/>
    <w:tmpl w:val="1F6238E2"/>
    <w:lvl w:ilvl="0" w:tplc="2A36C4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F5A99"/>
    <w:multiLevelType w:val="hybridMultilevel"/>
    <w:tmpl w:val="9A3671F6"/>
    <w:lvl w:ilvl="0" w:tplc="0409000F">
      <w:start w:val="4"/>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BF0C4D"/>
    <w:multiLevelType w:val="hybridMultilevel"/>
    <w:tmpl w:val="3758AB7C"/>
    <w:lvl w:ilvl="0" w:tplc="66C6107E">
      <w:start w:val="1"/>
      <w:numFmt w:val="lowerRoman"/>
      <w:lvlText w:val="%1."/>
      <w:lvlJc w:val="right"/>
      <w:pPr>
        <w:ind w:left="144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4444341"/>
    <w:multiLevelType w:val="hybridMultilevel"/>
    <w:tmpl w:val="C2A84F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E1F63"/>
    <w:multiLevelType w:val="hybridMultilevel"/>
    <w:tmpl w:val="91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E36B8"/>
    <w:multiLevelType w:val="hybridMultilevel"/>
    <w:tmpl w:val="D640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E34021"/>
    <w:multiLevelType w:val="hybridMultilevel"/>
    <w:tmpl w:val="728273E2"/>
    <w:lvl w:ilvl="0" w:tplc="5538C7BA">
      <w:start w:val="1"/>
      <w:numFmt w:val="decimal"/>
      <w:lvlText w:val="%1."/>
      <w:lvlJc w:val="left"/>
      <w:pPr>
        <w:ind w:left="504"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774018E5"/>
    <w:multiLevelType w:val="hybridMultilevel"/>
    <w:tmpl w:val="8ADEF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7B6C08"/>
    <w:multiLevelType w:val="multilevel"/>
    <w:tmpl w:val="CE6ED624"/>
    <w:lvl w:ilvl="0">
      <w:start w:val="2"/>
      <w:numFmt w:val="decimal"/>
      <w:lvlText w:val="%1."/>
      <w:lvlJc w:val="left"/>
      <w:pPr>
        <w:ind w:left="360" w:hanging="360"/>
      </w:pPr>
      <w:rPr>
        <w:rFonts w:hint="default"/>
      </w:rPr>
    </w:lvl>
    <w:lvl w:ilvl="1">
      <w:start w:val="1"/>
      <w:numFmt w:val="decimal"/>
      <w:pStyle w:val="Heading2"/>
      <w:lvlText w:val="%1.%2."/>
      <w:lvlJc w:val="left"/>
      <w:pPr>
        <w:ind w:left="0" w:hanging="360"/>
      </w:pPr>
      <w:rPr>
        <w:rFonts w:hint="default"/>
      </w:rPr>
    </w:lvl>
    <w:lvl w:ilvl="2">
      <w:start w:val="1"/>
      <w:numFmt w:val="decimal"/>
      <w:pStyle w:val="Heading3"/>
      <w:lvlText w:val="%1.%2.%3."/>
      <w:lvlJc w:val="left"/>
      <w:pPr>
        <w:ind w:left="0" w:hanging="360"/>
      </w:pPr>
      <w:rPr>
        <w:rFonts w:hint="default"/>
      </w:rPr>
    </w:lvl>
    <w:lvl w:ilvl="3">
      <w:start w:val="1"/>
      <w:numFmt w:val="decimal"/>
      <w:pStyle w:val="Heading4"/>
      <w:lvlText w:val="%1.%2.%3.%4."/>
      <w:lvlJc w:val="left"/>
      <w:pPr>
        <w:ind w:left="0" w:hanging="360"/>
      </w:pPr>
      <w:rPr>
        <w:rFonts w:hint="default"/>
      </w:rPr>
    </w:lvl>
    <w:lvl w:ilvl="4">
      <w:start w:val="1"/>
      <w:numFmt w:val="decimal"/>
      <w:pStyle w:val="Heading5"/>
      <w:lvlText w:val="%1.%2.%3.%4.%5."/>
      <w:lvlJc w:val="left"/>
      <w:pPr>
        <w:ind w:left="0" w:hanging="360"/>
      </w:pPr>
      <w:rPr>
        <w:rFonts w:hint="default"/>
      </w:rPr>
    </w:lvl>
    <w:lvl w:ilvl="5">
      <w:start w:val="1"/>
      <w:numFmt w:val="decimal"/>
      <w:pStyle w:val="Heading6"/>
      <w:lvlText w:val="%1.%2.%3.%4.%5.%6."/>
      <w:lvlJc w:val="left"/>
      <w:pPr>
        <w:tabs>
          <w:tab w:val="num" w:pos="6840"/>
        </w:tabs>
        <w:ind w:left="0" w:hanging="360"/>
      </w:pPr>
      <w:rPr>
        <w:rFonts w:hint="default"/>
      </w:rPr>
    </w:lvl>
    <w:lvl w:ilvl="6">
      <w:start w:val="1"/>
      <w:numFmt w:val="decimal"/>
      <w:pStyle w:val="Heading7"/>
      <w:lvlText w:val="%1.%2.%3.%4.%5.%6.%7."/>
      <w:lvlJc w:val="left"/>
      <w:pPr>
        <w:tabs>
          <w:tab w:val="num" w:pos="6840"/>
        </w:tabs>
        <w:ind w:left="0" w:hanging="360"/>
      </w:pPr>
      <w:rPr>
        <w:rFonts w:hint="default"/>
      </w:rPr>
    </w:lvl>
    <w:lvl w:ilvl="7">
      <w:start w:val="1"/>
      <w:numFmt w:val="decimal"/>
      <w:pStyle w:val="Heading8"/>
      <w:lvlText w:val="%1.%2.%3.%4.%5.%6.%7.%8."/>
      <w:lvlJc w:val="left"/>
      <w:pPr>
        <w:ind w:left="0" w:hanging="360"/>
      </w:pPr>
      <w:rPr>
        <w:rFonts w:hint="default"/>
      </w:rPr>
    </w:lvl>
    <w:lvl w:ilvl="8">
      <w:start w:val="1"/>
      <w:numFmt w:val="decimal"/>
      <w:pStyle w:val="Heading9"/>
      <w:lvlText w:val="%1.%2.%3.%4.%5.%6.%7.%8.%9."/>
      <w:lvlJc w:val="left"/>
      <w:pPr>
        <w:ind w:left="0" w:hanging="360"/>
      </w:pPr>
      <w:rPr>
        <w:rFonts w:hint="default"/>
      </w:rPr>
    </w:lvl>
  </w:abstractNum>
  <w:num w:numId="1">
    <w:abstractNumId w:val="22"/>
  </w:num>
  <w:num w:numId="2">
    <w:abstractNumId w:val="0"/>
  </w:num>
  <w:num w:numId="3">
    <w:abstractNumId w:val="16"/>
  </w:num>
  <w:num w:numId="4">
    <w:abstractNumId w:val="17"/>
  </w:num>
  <w:num w:numId="5">
    <w:abstractNumId w:val="13"/>
  </w:num>
  <w:num w:numId="6">
    <w:abstractNumId w:val="15"/>
  </w:num>
  <w:num w:numId="7">
    <w:abstractNumId w:val="21"/>
  </w:num>
  <w:num w:numId="8">
    <w:abstractNumId w:val="23"/>
  </w:num>
  <w:num w:numId="9">
    <w:abstractNumId w:val="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5"/>
  </w:num>
  <w:num w:numId="14">
    <w:abstractNumId w:val="11"/>
  </w:num>
  <w:num w:numId="15">
    <w:abstractNumId w:val="10"/>
  </w:num>
  <w:num w:numId="16">
    <w:abstractNumId w:val="8"/>
  </w:num>
  <w:num w:numId="17">
    <w:abstractNumId w:val="6"/>
  </w:num>
  <w:num w:numId="18">
    <w:abstractNumId w:val="3"/>
  </w:num>
  <w:num w:numId="19">
    <w:abstractNumId w:val="9"/>
  </w:num>
  <w:num w:numId="20">
    <w:abstractNumId w:val="18"/>
  </w:num>
  <w:num w:numId="21">
    <w:abstractNumId w:val="19"/>
  </w:num>
  <w:num w:numId="22">
    <w:abstractNumId w:val="14"/>
  </w:num>
  <w:num w:numId="23">
    <w:abstractNumId w:val="1"/>
  </w:num>
  <w:num w:numId="24">
    <w:abstractNumId w:val="20"/>
  </w:num>
  <w:num w:numId="25">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CF"/>
    <w:rsid w:val="000046BB"/>
    <w:rsid w:val="000300F1"/>
    <w:rsid w:val="00033848"/>
    <w:rsid w:val="00035897"/>
    <w:rsid w:val="00041460"/>
    <w:rsid w:val="00043E5A"/>
    <w:rsid w:val="000530E1"/>
    <w:rsid w:val="00053F9C"/>
    <w:rsid w:val="00065115"/>
    <w:rsid w:val="00084C65"/>
    <w:rsid w:val="00096B72"/>
    <w:rsid w:val="000A2039"/>
    <w:rsid w:val="000B4A58"/>
    <w:rsid w:val="000D13DD"/>
    <w:rsid w:val="000E1149"/>
    <w:rsid w:val="000E4301"/>
    <w:rsid w:val="000E52D0"/>
    <w:rsid w:val="000F2F39"/>
    <w:rsid w:val="001249DE"/>
    <w:rsid w:val="00134F10"/>
    <w:rsid w:val="00153DAB"/>
    <w:rsid w:val="001A5214"/>
    <w:rsid w:val="001C643B"/>
    <w:rsid w:val="001D0B22"/>
    <w:rsid w:val="001E7B2E"/>
    <w:rsid w:val="001F5DBC"/>
    <w:rsid w:val="00246F91"/>
    <w:rsid w:val="00263A16"/>
    <w:rsid w:val="00277EF3"/>
    <w:rsid w:val="00290F8F"/>
    <w:rsid w:val="002C1E84"/>
    <w:rsid w:val="002D5B8B"/>
    <w:rsid w:val="002E281E"/>
    <w:rsid w:val="00314107"/>
    <w:rsid w:val="003146B6"/>
    <w:rsid w:val="00324359"/>
    <w:rsid w:val="00326A5A"/>
    <w:rsid w:val="0034353E"/>
    <w:rsid w:val="0035382D"/>
    <w:rsid w:val="00357F08"/>
    <w:rsid w:val="0039101F"/>
    <w:rsid w:val="003B506A"/>
    <w:rsid w:val="003F7F32"/>
    <w:rsid w:val="00404401"/>
    <w:rsid w:val="004077FD"/>
    <w:rsid w:val="004345B0"/>
    <w:rsid w:val="00442667"/>
    <w:rsid w:val="00454D76"/>
    <w:rsid w:val="004550F1"/>
    <w:rsid w:val="004A5CED"/>
    <w:rsid w:val="004D34D6"/>
    <w:rsid w:val="004E6492"/>
    <w:rsid w:val="005073D9"/>
    <w:rsid w:val="00514B51"/>
    <w:rsid w:val="00527FB9"/>
    <w:rsid w:val="00563A5A"/>
    <w:rsid w:val="00573916"/>
    <w:rsid w:val="00584AD9"/>
    <w:rsid w:val="005D7D0F"/>
    <w:rsid w:val="005E7A61"/>
    <w:rsid w:val="006327BF"/>
    <w:rsid w:val="00640647"/>
    <w:rsid w:val="00650B63"/>
    <w:rsid w:val="00656341"/>
    <w:rsid w:val="006E06CA"/>
    <w:rsid w:val="00721961"/>
    <w:rsid w:val="0072204D"/>
    <w:rsid w:val="00754027"/>
    <w:rsid w:val="0079726F"/>
    <w:rsid w:val="007D761E"/>
    <w:rsid w:val="007E3638"/>
    <w:rsid w:val="00810607"/>
    <w:rsid w:val="00813A12"/>
    <w:rsid w:val="00815A64"/>
    <w:rsid w:val="008412C6"/>
    <w:rsid w:val="0086282D"/>
    <w:rsid w:val="0086284F"/>
    <w:rsid w:val="00865092"/>
    <w:rsid w:val="008733A8"/>
    <w:rsid w:val="008854EA"/>
    <w:rsid w:val="008A30AC"/>
    <w:rsid w:val="008C25BE"/>
    <w:rsid w:val="008D71BD"/>
    <w:rsid w:val="008F0991"/>
    <w:rsid w:val="00900587"/>
    <w:rsid w:val="00907E48"/>
    <w:rsid w:val="0093101E"/>
    <w:rsid w:val="00946D24"/>
    <w:rsid w:val="00980FBD"/>
    <w:rsid w:val="009A46CB"/>
    <w:rsid w:val="009B792B"/>
    <w:rsid w:val="009D22B0"/>
    <w:rsid w:val="009D5ECA"/>
    <w:rsid w:val="00A07326"/>
    <w:rsid w:val="00A13E81"/>
    <w:rsid w:val="00A23F19"/>
    <w:rsid w:val="00A4759B"/>
    <w:rsid w:val="00A51236"/>
    <w:rsid w:val="00A76513"/>
    <w:rsid w:val="00A90FFF"/>
    <w:rsid w:val="00AA09B5"/>
    <w:rsid w:val="00AB7D3B"/>
    <w:rsid w:val="00AC38EB"/>
    <w:rsid w:val="00AE57F5"/>
    <w:rsid w:val="00B106EC"/>
    <w:rsid w:val="00B11458"/>
    <w:rsid w:val="00B3312C"/>
    <w:rsid w:val="00B40044"/>
    <w:rsid w:val="00B66F28"/>
    <w:rsid w:val="00B678C0"/>
    <w:rsid w:val="00B7417D"/>
    <w:rsid w:val="00BA48D0"/>
    <w:rsid w:val="00BB7B30"/>
    <w:rsid w:val="00BC706B"/>
    <w:rsid w:val="00BD7182"/>
    <w:rsid w:val="00BE2F99"/>
    <w:rsid w:val="00BF2688"/>
    <w:rsid w:val="00C61935"/>
    <w:rsid w:val="00C73CC6"/>
    <w:rsid w:val="00C75C8B"/>
    <w:rsid w:val="00C85701"/>
    <w:rsid w:val="00CA1283"/>
    <w:rsid w:val="00CA4C06"/>
    <w:rsid w:val="00CD55CF"/>
    <w:rsid w:val="00CD645E"/>
    <w:rsid w:val="00CE5672"/>
    <w:rsid w:val="00CE5AC4"/>
    <w:rsid w:val="00D24CBE"/>
    <w:rsid w:val="00D4251E"/>
    <w:rsid w:val="00D55673"/>
    <w:rsid w:val="00D56A92"/>
    <w:rsid w:val="00D70ED4"/>
    <w:rsid w:val="00D81FB0"/>
    <w:rsid w:val="00DA2E87"/>
    <w:rsid w:val="00DB39D7"/>
    <w:rsid w:val="00DC4513"/>
    <w:rsid w:val="00DC7A4D"/>
    <w:rsid w:val="00E20100"/>
    <w:rsid w:val="00E31FE6"/>
    <w:rsid w:val="00E37DCF"/>
    <w:rsid w:val="00E74A78"/>
    <w:rsid w:val="00EA5D31"/>
    <w:rsid w:val="00EC0114"/>
    <w:rsid w:val="00ED00AE"/>
    <w:rsid w:val="00ED3852"/>
    <w:rsid w:val="00ED5A37"/>
    <w:rsid w:val="00EE4824"/>
    <w:rsid w:val="00EE6538"/>
    <w:rsid w:val="00F2385A"/>
    <w:rsid w:val="00F37635"/>
    <w:rsid w:val="00F80EE6"/>
    <w:rsid w:val="00F84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51AFC39E"/>
  <w15:docId w15:val="{2F04E899-5937-42F4-A870-C6D9EFB6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rPr>
  </w:style>
  <w:style w:type="paragraph" w:styleId="Heading1">
    <w:name w:val="heading 1"/>
    <w:next w:val="Normal"/>
    <w:link w:val="Heading1Char"/>
    <w:uiPriority w:val="9"/>
    <w:qFormat/>
    <w:rsid w:val="00242A46"/>
    <w:pPr>
      <w:keepNext/>
      <w:keepLines/>
      <w:spacing w:before="240"/>
      <w:outlineLvl w:val="0"/>
    </w:pPr>
    <w:rPr>
      <w:rFonts w:ascii="Cambria" w:eastAsia="Times New Roman" w:hAnsi="Cambria"/>
      <w:b/>
      <w:bCs/>
      <w:sz w:val="28"/>
      <w:szCs w:val="28"/>
    </w:rPr>
  </w:style>
  <w:style w:type="paragraph" w:styleId="Heading2">
    <w:name w:val="heading 2"/>
    <w:basedOn w:val="Heading1"/>
    <w:next w:val="Normal"/>
    <w:link w:val="Heading2Char"/>
    <w:uiPriority w:val="9"/>
    <w:qFormat/>
    <w:rsid w:val="00E54AD8"/>
    <w:pPr>
      <w:framePr w:wrap="around" w:vAnchor="text" w:hAnchor="text" w:y="1"/>
      <w:numPr>
        <w:ilvl w:val="1"/>
        <w:numId w:val="8"/>
      </w:numPr>
      <w:spacing w:before="200"/>
      <w:outlineLvl w:val="1"/>
    </w:pPr>
    <w:rPr>
      <w:bCs w:val="0"/>
      <w:i/>
      <w:sz w:val="26"/>
      <w:szCs w:val="26"/>
    </w:rPr>
  </w:style>
  <w:style w:type="paragraph" w:styleId="Heading3">
    <w:name w:val="heading 3"/>
    <w:basedOn w:val="Heading2"/>
    <w:next w:val="Normal"/>
    <w:link w:val="Heading3Char"/>
    <w:uiPriority w:val="9"/>
    <w:qFormat/>
    <w:rsid w:val="0083443D"/>
    <w:pPr>
      <w:framePr w:wrap="around"/>
      <w:numPr>
        <w:ilvl w:val="2"/>
      </w:numPr>
      <w:outlineLvl w:val="2"/>
    </w:pPr>
    <w:rPr>
      <w:b w:val="0"/>
      <w:bCs/>
      <w:color w:val="000000"/>
    </w:rPr>
  </w:style>
  <w:style w:type="paragraph" w:styleId="Heading4">
    <w:name w:val="heading 4"/>
    <w:basedOn w:val="Normal"/>
    <w:next w:val="Normal"/>
    <w:link w:val="Heading4Char"/>
    <w:uiPriority w:val="9"/>
    <w:qFormat/>
    <w:rsid w:val="00242A46"/>
    <w:pPr>
      <w:keepNext/>
      <w:keepLines/>
      <w:numPr>
        <w:ilvl w:val="3"/>
        <w:numId w:val="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242A46"/>
    <w:pPr>
      <w:keepNext/>
      <w:keepLines/>
      <w:numPr>
        <w:ilvl w:val="4"/>
        <w:numId w:val="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242A46"/>
    <w:pPr>
      <w:keepNext/>
      <w:keepLines/>
      <w:numPr>
        <w:ilvl w:val="5"/>
        <w:numId w:val="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242A46"/>
    <w:pPr>
      <w:keepNext/>
      <w:keepLines/>
      <w:numPr>
        <w:ilvl w:val="6"/>
        <w:numId w:val="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242A46"/>
    <w:pPr>
      <w:keepNext/>
      <w:keepLines/>
      <w:numPr>
        <w:ilvl w:val="7"/>
        <w:numId w:val="8"/>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242A46"/>
    <w:pPr>
      <w:keepNext/>
      <w:keepLines/>
      <w:numPr>
        <w:ilvl w:val="8"/>
        <w:numId w:val="8"/>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D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242A46"/>
    <w:rPr>
      <w:rFonts w:ascii="Cambria" w:eastAsia="Times New Roman" w:hAnsi="Cambria"/>
      <w:b/>
      <w:bCs/>
      <w:sz w:val="28"/>
      <w:szCs w:val="28"/>
      <w:lang w:val="en-US" w:eastAsia="en-US" w:bidi="ar-SA"/>
    </w:rPr>
  </w:style>
  <w:style w:type="character" w:customStyle="1" w:styleId="Heading2Char">
    <w:name w:val="Heading 2 Char"/>
    <w:link w:val="Heading2"/>
    <w:uiPriority w:val="9"/>
    <w:rsid w:val="00E54AD8"/>
    <w:rPr>
      <w:rFonts w:ascii="Cambria" w:eastAsia="Times New Roman" w:hAnsi="Cambria" w:cs="Times New Roman"/>
      <w:b/>
      <w:i/>
      <w:sz w:val="26"/>
      <w:szCs w:val="26"/>
    </w:rPr>
  </w:style>
  <w:style w:type="paragraph" w:styleId="Title">
    <w:name w:val="Title"/>
    <w:basedOn w:val="Normal"/>
    <w:next w:val="Normal"/>
    <w:link w:val="TitleChar"/>
    <w:uiPriority w:val="10"/>
    <w:qFormat/>
    <w:rsid w:val="00753706"/>
    <w:pPr>
      <w:spacing w:after="300"/>
      <w:contextualSpacing/>
    </w:pPr>
    <w:rPr>
      <w:rFonts w:ascii="Cambria" w:eastAsia="Times New Roman" w:hAnsi="Cambria"/>
      <w:spacing w:val="5"/>
      <w:kern w:val="28"/>
      <w:sz w:val="52"/>
      <w:szCs w:val="52"/>
    </w:rPr>
  </w:style>
  <w:style w:type="character" w:customStyle="1" w:styleId="TitleChar">
    <w:name w:val="Title Char"/>
    <w:link w:val="Title"/>
    <w:uiPriority w:val="10"/>
    <w:rsid w:val="00753706"/>
    <w:rPr>
      <w:rFonts w:ascii="Cambria" w:eastAsia="Times New Roman" w:hAnsi="Cambria" w:cs="Times New Roman"/>
      <w:spacing w:val="5"/>
      <w:kern w:val="28"/>
      <w:sz w:val="52"/>
      <w:szCs w:val="52"/>
    </w:rPr>
  </w:style>
  <w:style w:type="paragraph" w:styleId="Subtitle">
    <w:name w:val="Subtitle"/>
    <w:basedOn w:val="Normal"/>
    <w:next w:val="Normal"/>
    <w:link w:val="SubtitleChar"/>
    <w:uiPriority w:val="11"/>
    <w:qFormat/>
    <w:rsid w:val="00753706"/>
    <w:pPr>
      <w:numPr>
        <w:ilvl w:val="1"/>
      </w:numPr>
    </w:pPr>
    <w:rPr>
      <w:rFonts w:ascii="Cambria" w:eastAsia="Times New Roman" w:hAnsi="Cambria"/>
      <w:i/>
      <w:iCs/>
      <w:spacing w:val="15"/>
    </w:rPr>
  </w:style>
  <w:style w:type="character" w:customStyle="1" w:styleId="SubtitleChar">
    <w:name w:val="Subtitle Char"/>
    <w:link w:val="Subtitle"/>
    <w:uiPriority w:val="11"/>
    <w:rsid w:val="00753706"/>
    <w:rPr>
      <w:rFonts w:ascii="Cambria" w:eastAsia="Times New Roman" w:hAnsi="Cambria" w:cs="Times New Roman"/>
      <w:i/>
      <w:iCs/>
      <w:spacing w:val="15"/>
    </w:rPr>
  </w:style>
  <w:style w:type="character" w:customStyle="1" w:styleId="SubtleEmphasis1">
    <w:name w:val="Subtle Emphasis1"/>
    <w:uiPriority w:val="19"/>
    <w:qFormat/>
    <w:rsid w:val="00753706"/>
    <w:rPr>
      <w:i/>
      <w:iCs/>
      <w:color w:val="auto"/>
    </w:rPr>
  </w:style>
  <w:style w:type="character" w:customStyle="1" w:styleId="IntenseEmphasis1">
    <w:name w:val="Intense Emphasis1"/>
    <w:uiPriority w:val="21"/>
    <w:qFormat/>
    <w:rsid w:val="00753706"/>
    <w:rPr>
      <w:b/>
      <w:bCs/>
      <w:i/>
      <w:iCs/>
      <w:color w:val="auto"/>
    </w:rPr>
  </w:style>
  <w:style w:type="paragraph" w:customStyle="1" w:styleId="MediumGrid2-Accent41">
    <w:name w:val="Medium Grid 2 - Accent 41"/>
    <w:basedOn w:val="Normal"/>
    <w:next w:val="Normal"/>
    <w:link w:val="MediumGrid2-Accent4Char"/>
    <w:uiPriority w:val="30"/>
    <w:qFormat/>
    <w:rsid w:val="00753706"/>
    <w:pPr>
      <w:pBdr>
        <w:bottom w:val="single" w:sz="4" w:space="4" w:color="4F81BD"/>
      </w:pBdr>
      <w:spacing w:before="200" w:after="280"/>
      <w:ind w:left="936" w:right="936"/>
    </w:pPr>
    <w:rPr>
      <w:b/>
      <w:bCs/>
      <w:i/>
      <w:iCs/>
    </w:rPr>
  </w:style>
  <w:style w:type="character" w:customStyle="1" w:styleId="MediumGrid2-Accent4Char">
    <w:name w:val="Medium Grid 2 - Accent 4 Char"/>
    <w:link w:val="MediumGrid2-Accent41"/>
    <w:uiPriority w:val="30"/>
    <w:rsid w:val="00753706"/>
    <w:rPr>
      <w:b/>
      <w:bCs/>
      <w:i/>
      <w:iCs/>
    </w:rPr>
  </w:style>
  <w:style w:type="character" w:customStyle="1" w:styleId="SubtleReference1">
    <w:name w:val="Subtle Reference1"/>
    <w:uiPriority w:val="31"/>
    <w:qFormat/>
    <w:rsid w:val="00753706"/>
    <w:rPr>
      <w:smallCaps/>
      <w:color w:val="auto"/>
      <w:u w:val="single"/>
    </w:rPr>
  </w:style>
  <w:style w:type="character" w:customStyle="1" w:styleId="IntenseReference1">
    <w:name w:val="Intense Reference1"/>
    <w:uiPriority w:val="32"/>
    <w:qFormat/>
    <w:rsid w:val="00753706"/>
    <w:rPr>
      <w:b/>
      <w:bCs/>
      <w:smallCaps/>
      <w:color w:val="auto"/>
      <w:spacing w:val="5"/>
      <w:u w:val="single"/>
    </w:rPr>
  </w:style>
  <w:style w:type="paragraph" w:customStyle="1" w:styleId="TOCHeading1">
    <w:name w:val="TOC Heading1"/>
    <w:basedOn w:val="Heading1"/>
    <w:next w:val="Normal"/>
    <w:uiPriority w:val="39"/>
    <w:unhideWhenUsed/>
    <w:qFormat/>
    <w:rsid w:val="00D369B6"/>
    <w:pPr>
      <w:spacing w:line="276" w:lineRule="auto"/>
      <w:outlineLvl w:val="9"/>
    </w:pPr>
    <w:rPr>
      <w:color w:val="000000"/>
    </w:rPr>
  </w:style>
  <w:style w:type="paragraph" w:styleId="BalloonText">
    <w:name w:val="Balloon Text"/>
    <w:basedOn w:val="Normal"/>
    <w:link w:val="BalloonTextChar"/>
    <w:uiPriority w:val="99"/>
    <w:semiHidden/>
    <w:unhideWhenUsed/>
    <w:rsid w:val="00AB6E9B"/>
    <w:rPr>
      <w:rFonts w:ascii="Tahoma" w:hAnsi="Tahoma" w:cs="Tahoma"/>
      <w:sz w:val="16"/>
      <w:szCs w:val="16"/>
    </w:rPr>
  </w:style>
  <w:style w:type="character" w:customStyle="1" w:styleId="BalloonTextChar">
    <w:name w:val="Balloon Text Char"/>
    <w:link w:val="BalloonText"/>
    <w:uiPriority w:val="99"/>
    <w:semiHidden/>
    <w:rsid w:val="00AB6E9B"/>
    <w:rPr>
      <w:rFonts w:ascii="Tahoma" w:hAnsi="Tahoma" w:cs="Tahoma"/>
      <w:sz w:val="16"/>
      <w:szCs w:val="16"/>
    </w:rPr>
  </w:style>
  <w:style w:type="paragraph" w:customStyle="1" w:styleId="MediumList2-Accent41">
    <w:name w:val="Medium List 2 - Accent 41"/>
    <w:basedOn w:val="Normal"/>
    <w:uiPriority w:val="34"/>
    <w:qFormat/>
    <w:rsid w:val="00EE23ED"/>
    <w:pPr>
      <w:ind w:left="720"/>
      <w:contextualSpacing/>
    </w:pPr>
  </w:style>
  <w:style w:type="paragraph" w:styleId="TOC1">
    <w:name w:val="toc 1"/>
    <w:basedOn w:val="Normal"/>
    <w:next w:val="Normal"/>
    <w:autoRedefine/>
    <w:uiPriority w:val="39"/>
    <w:unhideWhenUsed/>
    <w:rsid w:val="00324359"/>
    <w:pPr>
      <w:tabs>
        <w:tab w:val="left" w:pos="420"/>
        <w:tab w:val="right" w:leader="dot" w:pos="9350"/>
      </w:tabs>
    </w:pPr>
  </w:style>
  <w:style w:type="character" w:styleId="Hyperlink">
    <w:name w:val="Hyperlink"/>
    <w:unhideWhenUsed/>
    <w:rsid w:val="00EE23ED"/>
    <w:rPr>
      <w:color w:val="0000FF"/>
      <w:u w:val="single"/>
    </w:rPr>
  </w:style>
  <w:style w:type="character" w:styleId="CommentReference">
    <w:name w:val="annotation reference"/>
    <w:rsid w:val="00D369B6"/>
    <w:rPr>
      <w:sz w:val="18"/>
      <w:szCs w:val="18"/>
    </w:rPr>
  </w:style>
  <w:style w:type="paragraph" w:styleId="CommentText">
    <w:name w:val="annotation text"/>
    <w:basedOn w:val="Normal"/>
    <w:link w:val="CommentTextChar"/>
    <w:rsid w:val="00D369B6"/>
    <w:rPr>
      <w:rFonts w:ascii="Times" w:eastAsia="Times" w:hAnsi="Times"/>
    </w:rPr>
  </w:style>
  <w:style w:type="character" w:customStyle="1" w:styleId="CommentTextChar">
    <w:name w:val="Comment Text Char"/>
    <w:link w:val="CommentText"/>
    <w:rsid w:val="00D369B6"/>
    <w:rPr>
      <w:rFonts w:ascii="Times" w:eastAsia="Times" w:hAnsi="Times"/>
    </w:rPr>
  </w:style>
  <w:style w:type="character" w:customStyle="1" w:styleId="Heading3Char">
    <w:name w:val="Heading 3 Char"/>
    <w:link w:val="Heading3"/>
    <w:uiPriority w:val="9"/>
    <w:semiHidden/>
    <w:rsid w:val="00764EC8"/>
    <w:rPr>
      <w:rFonts w:ascii="Cambria" w:eastAsia="Times New Roman" w:hAnsi="Cambria" w:cs="Times New Roman"/>
      <w:bCs/>
      <w:i/>
      <w:color w:val="000000"/>
      <w:sz w:val="26"/>
      <w:szCs w:val="26"/>
    </w:rPr>
  </w:style>
  <w:style w:type="character" w:customStyle="1" w:styleId="Heading4Char">
    <w:name w:val="Heading 4 Char"/>
    <w:link w:val="Heading4"/>
    <w:uiPriority w:val="9"/>
    <w:semiHidden/>
    <w:rsid w:val="00242A46"/>
    <w:rPr>
      <w:rFonts w:ascii="Cambria" w:eastAsia="Times New Roman" w:hAnsi="Cambria" w:cs="Times New Roman"/>
      <w:b/>
      <w:bCs/>
      <w:i/>
      <w:iCs/>
      <w:color w:val="4F81BD"/>
    </w:rPr>
  </w:style>
  <w:style w:type="character" w:customStyle="1" w:styleId="Heading5Char">
    <w:name w:val="Heading 5 Char"/>
    <w:link w:val="Heading5"/>
    <w:uiPriority w:val="9"/>
    <w:semiHidden/>
    <w:rsid w:val="00242A46"/>
    <w:rPr>
      <w:rFonts w:ascii="Cambria" w:eastAsia="Times New Roman" w:hAnsi="Cambria" w:cs="Times New Roman"/>
      <w:color w:val="243F60"/>
    </w:rPr>
  </w:style>
  <w:style w:type="character" w:customStyle="1" w:styleId="Heading6Char">
    <w:name w:val="Heading 6 Char"/>
    <w:link w:val="Heading6"/>
    <w:uiPriority w:val="9"/>
    <w:semiHidden/>
    <w:rsid w:val="00242A46"/>
    <w:rPr>
      <w:rFonts w:ascii="Cambria" w:eastAsia="Times New Roman" w:hAnsi="Cambria" w:cs="Times New Roman"/>
      <w:i/>
      <w:iCs/>
      <w:color w:val="243F60"/>
    </w:rPr>
  </w:style>
  <w:style w:type="character" w:customStyle="1" w:styleId="Heading7Char">
    <w:name w:val="Heading 7 Char"/>
    <w:link w:val="Heading7"/>
    <w:uiPriority w:val="9"/>
    <w:semiHidden/>
    <w:rsid w:val="00242A46"/>
    <w:rPr>
      <w:rFonts w:ascii="Cambria" w:eastAsia="Times New Roman" w:hAnsi="Cambria" w:cs="Times New Roman"/>
      <w:i/>
      <w:iCs/>
      <w:color w:val="404040"/>
    </w:rPr>
  </w:style>
  <w:style w:type="character" w:customStyle="1" w:styleId="Heading8Char">
    <w:name w:val="Heading 8 Char"/>
    <w:link w:val="Heading8"/>
    <w:uiPriority w:val="9"/>
    <w:semiHidden/>
    <w:rsid w:val="00242A46"/>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242A46"/>
    <w:rPr>
      <w:rFonts w:ascii="Cambria" w:eastAsia="Times New Roman" w:hAnsi="Cambria" w:cs="Times New Roman"/>
      <w:i/>
      <w:iCs/>
      <w:color w:val="404040"/>
      <w:sz w:val="20"/>
      <w:szCs w:val="20"/>
    </w:rPr>
  </w:style>
  <w:style w:type="paragraph" w:styleId="TOC2">
    <w:name w:val="toc 2"/>
    <w:basedOn w:val="Normal"/>
    <w:next w:val="Normal"/>
    <w:autoRedefine/>
    <w:uiPriority w:val="39"/>
    <w:unhideWhenUsed/>
    <w:rsid w:val="00324359"/>
    <w:pPr>
      <w:tabs>
        <w:tab w:val="left" w:pos="840"/>
        <w:tab w:val="right" w:leader="dot" w:pos="9350"/>
      </w:tabs>
      <w:ind w:left="245"/>
    </w:pPr>
  </w:style>
  <w:style w:type="paragraph" w:styleId="Header">
    <w:name w:val="header"/>
    <w:basedOn w:val="Normal"/>
    <w:link w:val="HeaderChar"/>
    <w:uiPriority w:val="99"/>
    <w:unhideWhenUsed/>
    <w:rsid w:val="00D12B59"/>
    <w:pPr>
      <w:tabs>
        <w:tab w:val="center" w:pos="4680"/>
        <w:tab w:val="right" w:pos="9360"/>
      </w:tabs>
    </w:pPr>
  </w:style>
  <w:style w:type="character" w:customStyle="1" w:styleId="HeaderChar">
    <w:name w:val="Header Char"/>
    <w:basedOn w:val="DefaultParagraphFont"/>
    <w:link w:val="Header"/>
    <w:uiPriority w:val="99"/>
    <w:rsid w:val="00D12B59"/>
  </w:style>
  <w:style w:type="paragraph" w:styleId="Footer">
    <w:name w:val="footer"/>
    <w:basedOn w:val="Normal"/>
    <w:link w:val="FooterChar"/>
    <w:uiPriority w:val="99"/>
    <w:unhideWhenUsed/>
    <w:rsid w:val="00D12B59"/>
    <w:pPr>
      <w:tabs>
        <w:tab w:val="center" w:pos="4680"/>
        <w:tab w:val="right" w:pos="9360"/>
      </w:tabs>
    </w:pPr>
  </w:style>
  <w:style w:type="character" w:customStyle="1" w:styleId="FooterChar">
    <w:name w:val="Footer Char"/>
    <w:basedOn w:val="DefaultParagraphFont"/>
    <w:link w:val="Footer"/>
    <w:uiPriority w:val="99"/>
    <w:rsid w:val="00D12B59"/>
  </w:style>
  <w:style w:type="character" w:customStyle="1" w:styleId="MediumGrid11">
    <w:name w:val="Medium Grid 11"/>
    <w:uiPriority w:val="99"/>
    <w:semiHidden/>
    <w:rsid w:val="003C2B1A"/>
    <w:rPr>
      <w:color w:val="808080"/>
    </w:rPr>
  </w:style>
  <w:style w:type="paragraph" w:styleId="CommentSubject">
    <w:name w:val="annotation subject"/>
    <w:basedOn w:val="CommentText"/>
    <w:next w:val="CommentText"/>
    <w:link w:val="CommentSubjectChar"/>
    <w:uiPriority w:val="99"/>
    <w:semiHidden/>
    <w:unhideWhenUsed/>
    <w:rsid w:val="00A847EB"/>
    <w:rPr>
      <w:rFonts w:ascii="Times New Roman" w:eastAsia="Calibri" w:hAnsi="Times New Roman"/>
      <w:b/>
      <w:bCs/>
      <w:sz w:val="20"/>
      <w:szCs w:val="20"/>
    </w:rPr>
  </w:style>
  <w:style w:type="character" w:customStyle="1" w:styleId="CommentSubjectChar">
    <w:name w:val="Comment Subject Char"/>
    <w:link w:val="CommentSubject"/>
    <w:uiPriority w:val="99"/>
    <w:semiHidden/>
    <w:rsid w:val="00A847EB"/>
    <w:rPr>
      <w:rFonts w:ascii="Times" w:eastAsia="Times" w:hAnsi="Times"/>
      <w:b/>
      <w:bCs/>
      <w:sz w:val="20"/>
      <w:szCs w:val="20"/>
    </w:rPr>
  </w:style>
  <w:style w:type="paragraph" w:styleId="ListParagraph">
    <w:name w:val="List Paragraph"/>
    <w:basedOn w:val="Normal"/>
    <w:qFormat/>
    <w:rsid w:val="00640647"/>
    <w:pPr>
      <w:ind w:left="720"/>
      <w:contextualSpacing/>
    </w:pPr>
  </w:style>
  <w:style w:type="character" w:styleId="FollowedHyperlink">
    <w:name w:val="FollowedHyperlink"/>
    <w:basedOn w:val="DefaultParagraphFont"/>
    <w:rsid w:val="00813A12"/>
    <w:rPr>
      <w:color w:val="800080" w:themeColor="followedHyperlink"/>
      <w:u w:val="single"/>
    </w:rPr>
  </w:style>
  <w:style w:type="paragraph" w:styleId="Revision">
    <w:name w:val="Revision"/>
    <w:hidden/>
    <w:rsid w:val="00B678C0"/>
    <w:rPr>
      <w:sz w:val="24"/>
      <w:szCs w:val="24"/>
    </w:rPr>
  </w:style>
  <w:style w:type="paragraph" w:styleId="NormalWeb">
    <w:name w:val="Normal (Web)"/>
    <w:basedOn w:val="Normal"/>
    <w:uiPriority w:val="99"/>
    <w:rsid w:val="00865092"/>
    <w:pPr>
      <w:spacing w:before="100" w:beforeAutospacing="1" w:after="100" w:afterAutospacing="1"/>
    </w:pPr>
    <w:rPr>
      <w:rFonts w:eastAsia="Times New Roman"/>
    </w:rPr>
  </w:style>
  <w:style w:type="paragraph" w:customStyle="1" w:styleId="WPDefaults">
    <w:name w:val="WP Defaults"/>
    <w:basedOn w:val="Normal"/>
    <w:rsid w:val="008650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s>
      <w:autoSpaceDE w:val="0"/>
      <w:autoSpaceDN w:val="0"/>
      <w:adjustRightInd w:val="0"/>
    </w:pPr>
    <w:rPr>
      <w:rFonts w:eastAsia="Times New Roman"/>
    </w:rPr>
  </w:style>
  <w:style w:type="character" w:customStyle="1" w:styleId="pbtocauthors">
    <w:name w:val="pb_toc_authors"/>
    <w:rsid w:val="00EE4824"/>
  </w:style>
  <w:style w:type="character" w:customStyle="1" w:styleId="pbtoclink">
    <w:name w:val="pb_toc_link"/>
    <w:rsid w:val="00EE4824"/>
  </w:style>
  <w:style w:type="paragraph" w:styleId="BodyText">
    <w:name w:val="Body Text"/>
    <w:basedOn w:val="Normal"/>
    <w:link w:val="BodyTextChar"/>
    <w:uiPriority w:val="1"/>
    <w:semiHidden/>
    <w:unhideWhenUsed/>
    <w:qFormat/>
    <w:rsid w:val="00053F9C"/>
    <w:pPr>
      <w:widowControl w:val="0"/>
      <w:spacing w:before="69"/>
      <w:ind w:left="100"/>
    </w:pPr>
    <w:rPr>
      <w:rFonts w:eastAsia="Times New Roman" w:cstheme="minorBidi"/>
    </w:rPr>
  </w:style>
  <w:style w:type="character" w:customStyle="1" w:styleId="BodyTextChar">
    <w:name w:val="Body Text Char"/>
    <w:basedOn w:val="DefaultParagraphFont"/>
    <w:link w:val="BodyText"/>
    <w:uiPriority w:val="1"/>
    <w:semiHidden/>
    <w:rsid w:val="00053F9C"/>
    <w:rPr>
      <w:rFonts w:eastAsia="Times New Roman"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4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eansites.org/" TargetMode="External"/><Relationship Id="rId13" Type="http://schemas.openxmlformats.org/officeDocument/2006/relationships/hyperlink" Target="ftp://ftp1.esrl.noaa.gov/users/cfairall/onr_droplet/parameterization/version12/" TargetMode="External"/><Relationship Id="rId18" Type="http://schemas.openxmlformats.org/officeDocument/2006/relationships/hyperlink" Target="http://cires.colorado.edu/blogs/airseagas/" TargetMode="External"/><Relationship Id="rId26" Type="http://schemas.openxmlformats.org/officeDocument/2006/relationships/hyperlink" Target="ftp://ftp1.esrl.noaa.gov/psd3/cruises/" TargetMode="External"/><Relationship Id="rId3" Type="http://schemas.openxmlformats.org/officeDocument/2006/relationships/styles" Target="styles.xml"/><Relationship Id="rId21" Type="http://schemas.openxmlformats.org/officeDocument/2006/relationships/hyperlink" Target="http://dx.doi.org/10.1175/JCLI-D-14-00477.1"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ncdc.noaa.gov/oa/rsad/air-sea/surfa.html" TargetMode="External"/><Relationship Id="rId17" Type="http://schemas.openxmlformats.org/officeDocument/2006/relationships/hyperlink" Target="http://cires.colorado.edu/education-outreach/projects/past-projects/cosee/" TargetMode="External"/><Relationship Id="rId25" Type="http://schemas.openxmlformats.org/officeDocument/2006/relationships/hyperlink" Target="ftp://ftp1.esrl.noaa.gov/users/cfairall/oceanobs/pubs/fy15/"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ftp://ftp1.esrl.noaa.gov/psd3/cruises/WHOTS_2014/Hiialakai/flux/Processed/" TargetMode="External"/><Relationship Id="rId20" Type="http://schemas.openxmlformats.org/officeDocument/2006/relationships/hyperlink" Target="http://dx.doi.org/10.1175/JAS-D-13-0313.1"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l.noaa.gov/psd/psd3/wgsf/" TargetMode="External"/><Relationship Id="rId24" Type="http://schemas.openxmlformats.org/officeDocument/2006/relationships/hyperlink" Target="ftp://ftp1.esrl.noaa.gov/psd3/cruises/WHOTS_2015/Hiialakai/Scientific_analysis/report/"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ftp1.esrl.noaa.gov/psd3/cruises/WHOTS_2014/Hiialakai/flux/Raw_Images/" TargetMode="External"/><Relationship Id="rId23" Type="http://schemas.openxmlformats.org/officeDocument/2006/relationships/hyperlink" Target="ftp://ftp1.esrl.noaa.gov/psd3/cruises/CALWATER_2015/RHB/flux/Allcruise_met_flux_v3/flux5hf_readme_CALWATER2_2015_v3.pdf"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http://www.esrl.noaa.gov/psd/psd3/air-sea/oceanobs/" TargetMode="External"/><Relationship Id="rId19" Type="http://schemas.openxmlformats.org/officeDocument/2006/relationships/hyperlink" Target="ftp://ftp1.esrl.noaa.gov/users/cfairall/outreach/"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esrl.noaa.gov/psd/psd3/air-sea/" TargetMode="External"/><Relationship Id="rId14" Type="http://schemas.openxmlformats.org/officeDocument/2006/relationships/hyperlink" Target="ftp://ftp1.esrl.noaa.gov/psd3/cruises/" TargetMode="External"/><Relationship Id="rId22" Type="http://schemas.openxmlformats.org/officeDocument/2006/relationships/hyperlink" Target="http://dx.doi.org/10.1002/qj.2488" TargetMode="External"/><Relationship Id="rId27" Type="http://schemas.openxmlformats.org/officeDocument/2006/relationships/image" Target="media/image1.jpeg"/><Relationship Id="rId30" Type="http://schemas.openxmlformats.org/officeDocument/2006/relationships/image" Target="media/image4.jp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2F41-8217-4735-B1A1-949AFBE2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Snowden</dc:creator>
  <cp:lastModifiedBy>Chris Fairall</cp:lastModifiedBy>
  <cp:revision>3</cp:revision>
  <cp:lastPrinted>2015-10-19T17:55:00Z</cp:lastPrinted>
  <dcterms:created xsi:type="dcterms:W3CDTF">2015-11-19T20:57:00Z</dcterms:created>
  <dcterms:modified xsi:type="dcterms:W3CDTF">2015-11-19T20:58:00Z</dcterms:modified>
</cp:coreProperties>
</file>