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26" w:rsidRDefault="00782326">
      <w:r>
        <w:t xml:space="preserve">Budget Calculations using G4 </w:t>
      </w:r>
      <w:proofErr w:type="spellStart"/>
      <w:r>
        <w:t>Dropsondes</w:t>
      </w:r>
      <w:proofErr w:type="spellEnd"/>
      <w:r>
        <w:t>.</w:t>
      </w:r>
    </w:p>
    <w:p w:rsidR="00782326" w:rsidRDefault="00782326">
      <w:r>
        <w:t>C. Fairall 3 March 2016</w:t>
      </w:r>
      <w:bookmarkStart w:id="0" w:name="_GoBack"/>
      <w:bookmarkEnd w:id="0"/>
    </w:p>
    <w:p w:rsidR="00782326" w:rsidRDefault="00782326"/>
    <w:p w:rsidR="00B272CF" w:rsidRDefault="00B910C0">
      <w:r>
        <w:t xml:space="preserve">Following </w:t>
      </w:r>
      <w:proofErr w:type="spellStart"/>
      <w:r>
        <w:t>Yanai</w:t>
      </w:r>
      <w:proofErr w:type="spellEnd"/>
      <w:r>
        <w:t xml:space="preserve"> et al. (1973) and Johnson et al. (2015)</w:t>
      </w:r>
    </w:p>
    <w:p w:rsidR="00B910C0" w:rsidRDefault="00B910C0">
      <w:r>
        <w:t>Two basic temperature and moisture budget quantities are computed from a network of soundings:</w:t>
      </w:r>
    </w:p>
    <w:p w:rsidR="00B910C0" w:rsidRDefault="00B910C0" w:rsidP="00B910C0">
      <w:pPr>
        <w:pStyle w:val="MTDisplayEquation"/>
      </w:pPr>
      <w:r>
        <w:tab/>
      </w:r>
      <w:r w:rsidR="0091395A" w:rsidRPr="00B910C0">
        <w:rPr>
          <w:position w:val="-24"/>
        </w:rPr>
        <w:object w:dxaOrig="6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48pt;height:33pt" o:ole="">
            <v:imagedata r:id="rId5" o:title=""/>
          </v:shape>
          <o:OLEObject Type="Embed" ProgID="Equation.DSMT4" ShapeID="_x0000_i1036" DrawAspect="Content" ObjectID="_1518609107" r:id="rId6"/>
        </w:object>
      </w:r>
      <w:r>
        <w:t xml:space="preserve"> </w:t>
      </w:r>
    </w:p>
    <w:p w:rsidR="00B910C0" w:rsidRDefault="00B910C0"/>
    <w:p w:rsidR="00B910C0" w:rsidRDefault="00B910C0" w:rsidP="00B910C0">
      <w:pPr>
        <w:pStyle w:val="MTDisplayEquation"/>
      </w:pPr>
      <w:r>
        <w:tab/>
      </w:r>
      <w:r w:rsidR="00B3436C" w:rsidRPr="00B910C0">
        <w:rPr>
          <w:position w:val="-24"/>
        </w:rPr>
        <w:object w:dxaOrig="5520" w:dyaOrig="660">
          <v:shape id="_x0000_i1040" type="#_x0000_t75" style="width:276pt;height:33pt" o:ole="">
            <v:imagedata r:id="rId7" o:title=""/>
          </v:shape>
          <o:OLEObject Type="Embed" ProgID="Equation.DSMT4" ShapeID="_x0000_i1040" DrawAspect="Content" ObjectID="_1518609108" r:id="rId8"/>
        </w:object>
      </w:r>
    </w:p>
    <w:p w:rsidR="0091395A" w:rsidRDefault="00D513F2" w:rsidP="00D513F2">
      <w:r>
        <w:t>Here θ is potential temperature, q specific humidity, Q</w:t>
      </w:r>
      <w:r w:rsidRPr="004F10FA">
        <w:rPr>
          <w:vertAlign w:val="subscript"/>
        </w:rPr>
        <w:t>R</w:t>
      </w:r>
      <w:r>
        <w:t xml:space="preserve"> the radiative flux divergence, </w:t>
      </w:r>
      <w:proofErr w:type="spellStart"/>
      <w:r>
        <w:t>c</w:t>
      </w:r>
      <w:r w:rsidRPr="004F10FA">
        <w:rPr>
          <w:vertAlign w:val="subscript"/>
        </w:rPr>
        <w:t>p</w:t>
      </w:r>
      <w:proofErr w:type="spellEnd"/>
      <w:r>
        <w:t xml:space="preserve"> the specific heat of air,</w:t>
      </w:r>
      <w:r w:rsidR="0091395A">
        <w:t xml:space="preserve"> c the rate of liquid water condensation, e the rate of evaporation,</w:t>
      </w:r>
      <w:r>
        <w:t xml:space="preserve"> n and e </w:t>
      </w:r>
      <w:r w:rsidR="0091395A">
        <w:t>subscripts denote</w:t>
      </w:r>
      <w:r>
        <w:t xml:space="preserve"> the nor</w:t>
      </w:r>
      <w:r w:rsidR="004F10FA">
        <w:t>th and east horizontal coordinat</w:t>
      </w:r>
      <w:r>
        <w:t>es, z the vertical coordinate, u the</w:t>
      </w:r>
      <w:r w:rsidR="004F10FA">
        <w:t xml:space="preserve"> horizontal</w:t>
      </w:r>
      <w:r>
        <w:t xml:space="preserve"> wind components</w:t>
      </w:r>
      <w:r w:rsidR="004F10FA">
        <w:t xml:space="preserve">, and w the vertical wind component.   </w:t>
      </w:r>
      <w:r w:rsidR="0091395A">
        <w:t xml:space="preserve">You can think of the right hand side of these equations as the convective forcing and the left side as the large-scale (measured) response.  </w:t>
      </w:r>
    </w:p>
    <w:p w:rsidR="00D513F2" w:rsidRDefault="00D513F2" w:rsidP="00D513F2">
      <w:r>
        <w:t xml:space="preserve">If you add these two equations, </w:t>
      </w:r>
    </w:p>
    <w:p w:rsidR="00D513F2" w:rsidRDefault="00D513F2" w:rsidP="00D513F2">
      <w:pPr>
        <w:pStyle w:val="MTDisplayEquation"/>
      </w:pPr>
      <w:r>
        <w:tab/>
      </w:r>
      <w:r w:rsidRPr="00D513F2">
        <w:rPr>
          <w:position w:val="-24"/>
        </w:rPr>
        <w:object w:dxaOrig="2439" w:dyaOrig="660">
          <v:shape id="_x0000_i1025" type="#_x0000_t75" style="width:122.25pt;height:33pt" o:ole="">
            <v:imagedata r:id="rId9" o:title=""/>
          </v:shape>
          <o:OLEObject Type="Embed" ProgID="Equation.DSMT4" ShapeID="_x0000_i1025" DrawAspect="Content" ObjectID="_1518609109" r:id="rId10"/>
        </w:object>
      </w:r>
      <w:r>
        <w:t xml:space="preserve"> </w:t>
      </w:r>
    </w:p>
    <w:p w:rsidR="00D513F2" w:rsidRDefault="00D513F2" w:rsidP="00D513F2">
      <w:r>
        <w:t xml:space="preserve">Where h is the moisture static energy (or, total enthalpy or equivalent potential temperature).  </w:t>
      </w:r>
      <w:r w:rsidR="0091395A">
        <w:t xml:space="preserve">This represents the </w:t>
      </w:r>
      <w:proofErr w:type="spellStart"/>
      <w:r w:rsidR="0091395A">
        <w:t>subgridscale</w:t>
      </w:r>
      <w:proofErr w:type="spellEnd"/>
      <w:r w:rsidR="0091395A">
        <w:t xml:space="preserve"> vertical</w:t>
      </w:r>
      <w:r w:rsidR="00A02EE2">
        <w:t xml:space="preserve"> eddy</w:t>
      </w:r>
      <w:r w:rsidR="0091395A">
        <w:t xml:space="preserve"> transport by turbulence and convective mixing. </w:t>
      </w:r>
      <w:r>
        <w:t>If we let the symbol &lt;x&gt; represent the integral of x from the surface to the tropopause, then</w:t>
      </w:r>
    </w:p>
    <w:p w:rsidR="00D513F2" w:rsidRDefault="00D513F2" w:rsidP="00D513F2">
      <w:r w:rsidRPr="00D513F2">
        <w:rPr>
          <w:position w:val="-12"/>
        </w:rPr>
        <w:object w:dxaOrig="2700" w:dyaOrig="360">
          <v:shape id="_x0000_i1026" type="#_x0000_t75" style="width:135pt;height:18pt" o:ole="">
            <v:imagedata r:id="rId11" o:title=""/>
          </v:shape>
          <o:OLEObject Type="Embed" ProgID="Equation.DSMT4" ShapeID="_x0000_i1026" DrawAspect="Content" ObjectID="_1518609110" r:id="rId12"/>
        </w:object>
      </w:r>
      <w:r>
        <w:t xml:space="preserve"> </w:t>
      </w:r>
    </w:p>
    <w:p w:rsidR="00D513F2" w:rsidRDefault="00D513F2" w:rsidP="00D513F2">
      <w:r w:rsidRPr="00D513F2">
        <w:rPr>
          <w:position w:val="-12"/>
        </w:rPr>
        <w:object w:dxaOrig="1980" w:dyaOrig="360">
          <v:shape id="_x0000_i1027" type="#_x0000_t75" style="width:99pt;height:18pt" o:ole="">
            <v:imagedata r:id="rId13" o:title=""/>
          </v:shape>
          <o:OLEObject Type="Embed" ProgID="Equation.DSMT4" ShapeID="_x0000_i1027" DrawAspect="Content" ObjectID="_1518609111" r:id="rId14"/>
        </w:object>
      </w:r>
      <w:r>
        <w:t xml:space="preserve"> </w:t>
      </w:r>
    </w:p>
    <w:p w:rsidR="00D513F2" w:rsidRDefault="00D513F2" w:rsidP="00D513F2">
      <w:r>
        <w:t>And</w:t>
      </w:r>
    </w:p>
    <w:p w:rsidR="00D513F2" w:rsidRDefault="00D513F2" w:rsidP="00D513F2">
      <w:r w:rsidRPr="00D513F2">
        <w:rPr>
          <w:position w:val="-32"/>
        </w:rPr>
        <w:object w:dxaOrig="4239" w:dyaOrig="740">
          <v:shape id="_x0000_i1028" type="#_x0000_t75" style="width:212.25pt;height:36.75pt" o:ole="">
            <v:imagedata r:id="rId15" o:title=""/>
          </v:shape>
          <o:OLEObject Type="Embed" ProgID="Equation.DSMT4" ShapeID="_x0000_i1028" DrawAspect="Content" ObjectID="_1518609112" r:id="rId16"/>
        </w:object>
      </w:r>
      <w:r>
        <w:t xml:space="preserve"> </w:t>
      </w:r>
    </w:p>
    <w:p w:rsidR="0060129B" w:rsidRDefault="00D513F2" w:rsidP="00D513F2">
      <w:r>
        <w:t>Here P is the precipitation rate, S the sensible heat flux, E the evaporation rate</w:t>
      </w:r>
      <w:r w:rsidR="004F10FA">
        <w:t>, and ‘0’ denotes the value at the surface.</w:t>
      </w:r>
      <w:r w:rsidR="00067E5B">
        <w:t xml:space="preserve">  To compute </w:t>
      </w:r>
      <w:r w:rsidR="00067E5B" w:rsidRPr="00067E5B">
        <w:rPr>
          <w:position w:val="-6"/>
        </w:rPr>
        <w:object w:dxaOrig="520" w:dyaOrig="340">
          <v:shape id="_x0000_i1035" type="#_x0000_t75" style="width:26.25pt;height:17.25pt" o:ole="">
            <v:imagedata r:id="rId17" o:title=""/>
          </v:shape>
          <o:OLEObject Type="Embed" ProgID="Equation.DSMT4" ShapeID="_x0000_i1035" DrawAspect="Content" ObjectID="_1518609113" r:id="rId18"/>
        </w:object>
      </w:r>
      <w:r w:rsidR="00067E5B">
        <w:t xml:space="preserve"> we have to assume a profile of Q</w:t>
      </w:r>
      <w:r w:rsidR="00067E5B" w:rsidRPr="00067E5B">
        <w:rPr>
          <w:vertAlign w:val="subscript"/>
        </w:rPr>
        <w:t>R</w:t>
      </w:r>
      <w:r w:rsidR="00A02EE2">
        <w:t>, which is on the order of -1 K/day</w:t>
      </w:r>
      <w:r w:rsidR="00067E5B">
        <w:t>.</w:t>
      </w:r>
      <w:r w:rsidR="0091395A">
        <w:t xml:space="preserve">  </w:t>
      </w:r>
    </w:p>
    <w:p w:rsidR="0060129B" w:rsidRDefault="0060129B" w:rsidP="00D513F2">
      <w:r w:rsidRPr="0060129B">
        <w:rPr>
          <w:position w:val="-12"/>
        </w:rPr>
        <w:object w:dxaOrig="2360" w:dyaOrig="360">
          <v:shape id="_x0000_i1038" type="#_x0000_t75" style="width:117.75pt;height:18pt" o:ole="">
            <v:imagedata r:id="rId19" o:title=""/>
          </v:shape>
          <o:OLEObject Type="Embed" ProgID="Equation.DSMT4" ShapeID="_x0000_i1038" DrawAspect="Content" ObjectID="_1518609114" r:id="rId20"/>
        </w:object>
      </w:r>
      <w:r>
        <w:t xml:space="preserve"> </w:t>
      </w:r>
    </w:p>
    <w:p w:rsidR="0060129B" w:rsidRDefault="0060129B" w:rsidP="00D513F2">
      <w:proofErr w:type="gramStart"/>
      <w:r>
        <w:lastRenderedPageBreak/>
        <w:t>where</w:t>
      </w:r>
      <w:proofErr w:type="gramEnd"/>
      <w:r>
        <w:t xml:space="preserve"> R is the net radiative flux (+ downward).  In the tropics, R</w:t>
      </w:r>
      <w:r w:rsidRPr="0060129B">
        <w:rPr>
          <w:vertAlign w:val="subscript"/>
        </w:rPr>
        <w:t>TOA</w:t>
      </w:r>
      <w:r>
        <w:t xml:space="preserve"> is about 45 W/m</w:t>
      </w:r>
      <w:r w:rsidRPr="0060129B">
        <w:rPr>
          <w:vertAlign w:val="superscript"/>
        </w:rPr>
        <w:t>2</w:t>
      </w:r>
      <w:r>
        <w:t xml:space="preserve"> and R</w:t>
      </w:r>
      <w:r w:rsidRPr="0060129B">
        <w:rPr>
          <w:vertAlign w:val="subscript"/>
        </w:rPr>
        <w:t>0</w:t>
      </w:r>
      <w:r>
        <w:t xml:space="preserve"> is about 150 W/m</w:t>
      </w:r>
      <w:r w:rsidRPr="0060129B">
        <w:rPr>
          <w:vertAlign w:val="superscript"/>
        </w:rPr>
        <w:t>2</w:t>
      </w:r>
      <w:r>
        <w:t xml:space="preserve">, </w:t>
      </w:r>
      <w:proofErr w:type="gramStart"/>
      <w:r>
        <w:t xml:space="preserve">and </w:t>
      </w:r>
      <w:proofErr w:type="gramEnd"/>
      <w:r w:rsidRPr="0060129B">
        <w:rPr>
          <w:position w:val="-12"/>
        </w:rPr>
        <w:object w:dxaOrig="2160" w:dyaOrig="380">
          <v:shape id="_x0000_i1039" type="#_x0000_t75" style="width:108pt;height:18.75pt" o:ole="">
            <v:imagedata r:id="rId21" o:title=""/>
          </v:shape>
          <o:OLEObject Type="Embed" ProgID="Equation.DSMT4" ShapeID="_x0000_i1039" DrawAspect="Content" ObjectID="_1518609115" r:id="rId22"/>
        </w:object>
      </w:r>
      <w:r>
        <w:t>.</w:t>
      </w:r>
    </w:p>
    <w:p w:rsidR="00D513F2" w:rsidRDefault="0091395A" w:rsidP="00D513F2">
      <w:r>
        <w:t>The precipitation rate at the surface in mm/day is given by</w:t>
      </w:r>
    </w:p>
    <w:p w:rsidR="0091395A" w:rsidRDefault="00A02EE2" w:rsidP="00D513F2">
      <w:r w:rsidRPr="0091395A">
        <w:rPr>
          <w:position w:val="-30"/>
        </w:rPr>
        <w:object w:dxaOrig="3280" w:dyaOrig="680">
          <v:shape id="_x0000_i1037" type="#_x0000_t75" style="width:164.25pt;height:33.75pt" o:ole="">
            <v:imagedata r:id="rId23" o:title=""/>
          </v:shape>
          <o:OLEObject Type="Embed" ProgID="Equation.DSMT4" ShapeID="_x0000_i1037" DrawAspect="Content" ObjectID="_1518609116" r:id="rId24"/>
        </w:object>
      </w:r>
      <w:r w:rsidR="0091395A">
        <w:t xml:space="preserve"> </w:t>
      </w:r>
    </w:p>
    <w:p w:rsidR="004F10FA" w:rsidRDefault="004F10FA" w:rsidP="00D513F2">
      <w:r>
        <w:t xml:space="preserve">The G4 </w:t>
      </w:r>
      <w:proofErr w:type="spellStart"/>
      <w:r>
        <w:t>dropsondes</w:t>
      </w:r>
      <w:proofErr w:type="spellEnd"/>
      <w:r>
        <w:t xml:space="preserve"> provide us profiles of T, RH, </w:t>
      </w:r>
      <w:proofErr w:type="gramStart"/>
      <w:r>
        <w:t>u</w:t>
      </w:r>
      <w:r w:rsidRPr="0060129B">
        <w:rPr>
          <w:vertAlign w:val="subscript"/>
        </w:rPr>
        <w:t>n</w:t>
      </w:r>
      <w:proofErr w:type="gramEnd"/>
      <w:r>
        <w:t xml:space="preserve">, </w:t>
      </w:r>
      <w:proofErr w:type="spellStart"/>
      <w:r>
        <w:t>u</w:t>
      </w:r>
      <w:r w:rsidRPr="0060129B">
        <w:rPr>
          <w:vertAlign w:val="subscript"/>
        </w:rPr>
        <w:t>e</w:t>
      </w:r>
      <w:proofErr w:type="spellEnd"/>
      <w:r>
        <w:t>, and P.</w:t>
      </w:r>
      <w:r w:rsidR="00A44A8B">
        <w:t xml:space="preserve">  A given flight has 20-35 </w:t>
      </w:r>
      <w:proofErr w:type="spellStart"/>
      <w:r w:rsidR="00A44A8B">
        <w:t>drop</w:t>
      </w:r>
      <w:r>
        <w:t>sondes</w:t>
      </w:r>
      <w:proofErr w:type="spellEnd"/>
      <w:r>
        <w:t>.  I have processed each drop:</w:t>
      </w:r>
    </w:p>
    <w:p w:rsidR="004F10FA" w:rsidRDefault="004F10FA" w:rsidP="004F10FA">
      <w:pPr>
        <w:pStyle w:val="ListParagraph"/>
        <w:numPr>
          <w:ilvl w:val="0"/>
          <w:numId w:val="1"/>
        </w:numPr>
      </w:pPr>
      <w:r>
        <w:t xml:space="preserve">Computed q from T, RH, </w:t>
      </w:r>
      <w:proofErr w:type="gramStart"/>
      <w:r>
        <w:t>P</w:t>
      </w:r>
      <w:proofErr w:type="gramEnd"/>
      <w:r w:rsidR="006472FF">
        <w:t xml:space="preserve">.  </w:t>
      </w:r>
    </w:p>
    <w:p w:rsidR="004F10FA" w:rsidRDefault="004F10FA" w:rsidP="004F10FA">
      <w:pPr>
        <w:pStyle w:val="ListParagraph"/>
        <w:numPr>
          <w:ilvl w:val="0"/>
          <w:numId w:val="1"/>
        </w:numPr>
      </w:pPr>
      <w:r>
        <w:t>Remapped from top down to bottom up.</w:t>
      </w:r>
    </w:p>
    <w:p w:rsidR="004F10FA" w:rsidRDefault="004F10FA" w:rsidP="004F10FA">
      <w:pPr>
        <w:pStyle w:val="ListParagraph"/>
        <w:numPr>
          <w:ilvl w:val="0"/>
          <w:numId w:val="1"/>
        </w:numPr>
      </w:pPr>
      <w:r>
        <w:t>Interpolated to a common height grid.</w:t>
      </w:r>
    </w:p>
    <w:p w:rsidR="004F10FA" w:rsidRDefault="004F10FA" w:rsidP="004F10FA">
      <w:pPr>
        <w:pStyle w:val="ListParagraph"/>
        <w:numPr>
          <w:ilvl w:val="0"/>
          <w:numId w:val="1"/>
        </w:numPr>
      </w:pPr>
      <w:r>
        <w:t>Smoothed the profiles in the vertical.</w:t>
      </w:r>
    </w:p>
    <w:p w:rsidR="006472FF" w:rsidRDefault="006472FF" w:rsidP="004F10FA">
      <w:pPr>
        <w:pStyle w:val="ListParagraph"/>
        <w:numPr>
          <w:ilvl w:val="0"/>
          <w:numId w:val="1"/>
        </w:numPr>
      </w:pPr>
      <w:r>
        <w:t>Recomputed a new RH with respect to ice if T&lt;0 C.</w:t>
      </w:r>
    </w:p>
    <w:p w:rsidR="004F10FA" w:rsidRDefault="006472FF" w:rsidP="006472FF">
      <w:r>
        <w:t>Processing of the profiles for thermodynamic quantities followed standard practice except we did not attempt to integrate around closed polygons to determine the budgets.  Instead, we f</w:t>
      </w:r>
      <w:r w:rsidR="004F10FA">
        <w:t xml:space="preserve">it a </w:t>
      </w:r>
      <w:proofErr w:type="spellStart"/>
      <w:r w:rsidR="004F10FA">
        <w:t>lat-lon</w:t>
      </w:r>
      <w:proofErr w:type="spellEnd"/>
      <w:r w:rsidR="004F10FA">
        <w:t xml:space="preserve"> linear regression to an ensemble of drops.  The ensemble may be a set of drops from one flight or from many flights</w:t>
      </w:r>
      <w:r w:rsidR="00A44A8B">
        <w:t>, typically restricted to some latitude range where convection is active</w:t>
      </w:r>
      <w:r w:rsidR="004F10FA">
        <w:t>.</w:t>
      </w:r>
      <w:r>
        <w:t xml:space="preserve">  This simplified the computations and allowed us to easily combine observations from multiple flights.   </w:t>
      </w:r>
      <w:proofErr w:type="spellStart"/>
      <w:r>
        <w:t>Lat-lon</w:t>
      </w:r>
      <w:proofErr w:type="spellEnd"/>
      <w:r>
        <w:t xml:space="preserve"> fits were also done by </w:t>
      </w:r>
      <w:proofErr w:type="spellStart"/>
      <w:r>
        <w:t>Yanai</w:t>
      </w:r>
      <w:proofErr w:type="spellEnd"/>
      <w:r>
        <w:t xml:space="preserve"> et al. (1973).  </w:t>
      </w:r>
    </w:p>
    <w:p w:rsidR="004F10FA" w:rsidRDefault="004F10FA" w:rsidP="004F10FA">
      <w:r>
        <w:t>The linear regression is of the form</w:t>
      </w:r>
    </w:p>
    <w:p w:rsidR="004F10FA" w:rsidRDefault="004F10FA" w:rsidP="004F10FA">
      <w:r w:rsidRPr="004F10FA">
        <w:rPr>
          <w:position w:val="-12"/>
        </w:rPr>
        <w:object w:dxaOrig="2600" w:dyaOrig="360">
          <v:shape id="_x0000_i1029" type="#_x0000_t75" style="width:129.75pt;height:18pt" o:ole="">
            <v:imagedata r:id="rId25" o:title=""/>
          </v:shape>
          <o:OLEObject Type="Embed" ProgID="Equation.DSMT4" ShapeID="_x0000_i1029" DrawAspect="Content" ObjectID="_1518609117" r:id="rId26"/>
        </w:object>
      </w:r>
      <w:r>
        <w:t xml:space="preserve"> </w:t>
      </w:r>
    </w:p>
    <w:p w:rsidR="004F10FA" w:rsidRDefault="006472FF" w:rsidP="004F10FA">
      <w:proofErr w:type="gramStart"/>
      <w:r>
        <w:t>y</w:t>
      </w:r>
      <w:r w:rsidR="00D72C3A">
        <w:t xml:space="preserve">ielding </w:t>
      </w:r>
      <w:r w:rsidR="00D72C3A" w:rsidRPr="00D72C3A">
        <w:rPr>
          <w:position w:val="-14"/>
        </w:rPr>
        <w:object w:dxaOrig="1200" w:dyaOrig="380">
          <v:shape id="_x0000_i1030" type="#_x0000_t75" style="width:60pt;height:18.75pt" o:ole="">
            <v:imagedata r:id="rId27" o:title=""/>
          </v:shape>
          <o:OLEObject Type="Embed" ProgID="Equation.DSMT4" ShapeID="_x0000_i1030" DrawAspect="Content" ObjectID="_1518609118" r:id="rId28"/>
        </w:object>
      </w:r>
      <w:r w:rsidR="00D72C3A">
        <w:t xml:space="preserve"> , </w:t>
      </w:r>
      <w:r w:rsidR="00D72C3A" w:rsidRPr="00D72C3A">
        <w:rPr>
          <w:position w:val="-14"/>
        </w:rPr>
        <w:object w:dxaOrig="1320" w:dyaOrig="380">
          <v:shape id="_x0000_i1031" type="#_x0000_t75" style="width:66pt;height:18.75pt" o:ole="">
            <v:imagedata r:id="rId29" o:title=""/>
          </v:shape>
          <o:OLEObject Type="Embed" ProgID="Equation.DSMT4" ShapeID="_x0000_i1031" DrawAspect="Content" ObjectID="_1518609119" r:id="rId30"/>
        </w:object>
      </w:r>
      <w:r w:rsidR="00D72C3A">
        <w:t xml:space="preserve"> , etc.  This allows us to compute the advection terms in Q</w:t>
      </w:r>
      <w:r w:rsidR="00D72C3A" w:rsidRPr="00D72C3A">
        <w:rPr>
          <w:vertAlign w:val="subscript"/>
        </w:rPr>
        <w:t>1</w:t>
      </w:r>
      <w:r w:rsidR="00D72C3A">
        <w:t xml:space="preserve"> and Q</w:t>
      </w:r>
      <w:r w:rsidR="00D72C3A" w:rsidRPr="00D72C3A">
        <w:rPr>
          <w:vertAlign w:val="subscript"/>
        </w:rPr>
        <w:t>2</w:t>
      </w:r>
      <w:r w:rsidR="00D72C3A">
        <w:t>.  Also, we can use the wind component regression coefficients to compute divergence and vorticity</w:t>
      </w:r>
    </w:p>
    <w:p w:rsidR="00D72C3A" w:rsidRDefault="00D72C3A" w:rsidP="004F10FA">
      <w:r w:rsidRPr="00D72C3A">
        <w:rPr>
          <w:position w:val="-24"/>
        </w:rPr>
        <w:object w:dxaOrig="2760" w:dyaOrig="620">
          <v:shape id="_x0000_i1032" type="#_x0000_t75" style="width:138pt;height:30.75pt" o:ole="">
            <v:imagedata r:id="rId31" o:title=""/>
          </v:shape>
          <o:OLEObject Type="Embed" ProgID="Equation.DSMT4" ShapeID="_x0000_i1032" DrawAspect="Content" ObjectID="_1518609120" r:id="rId32"/>
        </w:object>
      </w:r>
      <w:r>
        <w:t xml:space="preserve"> </w:t>
      </w:r>
    </w:p>
    <w:p w:rsidR="00D72C3A" w:rsidRDefault="00D72C3A" w:rsidP="004F10FA">
      <w:r w:rsidRPr="00D72C3A">
        <w:rPr>
          <w:position w:val="-24"/>
        </w:rPr>
        <w:object w:dxaOrig="2920" w:dyaOrig="620">
          <v:shape id="_x0000_i1033" type="#_x0000_t75" style="width:146.25pt;height:30.75pt" o:ole="">
            <v:imagedata r:id="rId33" o:title=""/>
          </v:shape>
          <o:OLEObject Type="Embed" ProgID="Equation.DSMT4" ShapeID="_x0000_i1033" DrawAspect="Content" ObjectID="_1518609121" r:id="rId34"/>
        </w:object>
      </w:r>
      <w:r>
        <w:t xml:space="preserve"> </w:t>
      </w:r>
    </w:p>
    <w:p w:rsidR="00D72C3A" w:rsidRDefault="00D72C3A" w:rsidP="004F10FA">
      <w:r>
        <w:t>The vertical velocity is obtained from the integral of divergence</w:t>
      </w:r>
    </w:p>
    <w:p w:rsidR="00D72C3A" w:rsidRDefault="00D72C3A" w:rsidP="004F10FA">
      <w:r w:rsidRPr="00D72C3A">
        <w:rPr>
          <w:position w:val="-32"/>
        </w:rPr>
        <w:object w:dxaOrig="1880" w:dyaOrig="740">
          <v:shape id="_x0000_i1034" type="#_x0000_t75" style="width:93.75pt;height:36.75pt" o:ole="">
            <v:imagedata r:id="rId35" o:title=""/>
          </v:shape>
          <o:OLEObject Type="Embed" ProgID="Equation.DSMT4" ShapeID="_x0000_i1034" DrawAspect="Content" ObjectID="_1518609122" r:id="rId36"/>
        </w:object>
      </w:r>
      <w:r>
        <w:t xml:space="preserve"> </w:t>
      </w:r>
    </w:p>
    <w:p w:rsidR="00DB7AB0" w:rsidRDefault="00DB7AB0" w:rsidP="004F10FA">
      <w:r>
        <w:t xml:space="preserve">An example of a few derived profiles for flight 01 are shown on the next page.  </w:t>
      </w:r>
      <w:r w:rsidR="00067E5B">
        <w:t>Average profiles of Q</w:t>
      </w:r>
      <w:r w:rsidR="00067E5B" w:rsidRPr="00067E5B">
        <w:rPr>
          <w:vertAlign w:val="subscript"/>
        </w:rPr>
        <w:t>1</w:t>
      </w:r>
      <w:r w:rsidR="00067E5B">
        <w:t>, Q</w:t>
      </w:r>
      <w:r w:rsidR="00067E5B" w:rsidRPr="00067E5B">
        <w:rPr>
          <w:vertAlign w:val="subscript"/>
        </w:rPr>
        <w:t>2</w:t>
      </w:r>
      <w:r w:rsidR="00067E5B">
        <w:t xml:space="preserve"> and moist static energy flux are shown on the next page.  Notice that Q1 peaks much higher than Q2; this was observed in the original </w:t>
      </w:r>
      <w:proofErr w:type="spellStart"/>
      <w:r w:rsidR="00067E5B">
        <w:t>Yanai</w:t>
      </w:r>
      <w:proofErr w:type="spellEnd"/>
      <w:r w:rsidR="00067E5B">
        <w:t xml:space="preserve"> analysis.  </w:t>
      </w:r>
      <w:r w:rsidR="003F0A83">
        <w:t xml:space="preserve">The separation of the peaks implies relatively weak contribution from </w:t>
      </w:r>
      <w:proofErr w:type="spellStart"/>
      <w:r w:rsidR="003F0A83">
        <w:t>stratiform</w:t>
      </w:r>
      <w:proofErr w:type="spellEnd"/>
      <w:r w:rsidR="003F0A83">
        <w:t xml:space="preserve"> precipitation (Johnson et al., 2015).</w:t>
      </w:r>
      <w:r w:rsidR="005D195F">
        <w:t xml:space="preserve">  The integral of the Q2 profiles yields a surface precipitation rate of about 24 mm/d.</w:t>
      </w:r>
      <w:r w:rsidR="00B874F1">
        <w:t xml:space="preserve">  Another amusing reference to check out is Luo and Tung’s </w:t>
      </w:r>
      <w:r w:rsidR="00B874F1">
        <w:lastRenderedPageBreak/>
        <w:t>evaluation of atmospheric rivers using YOTC data.</w:t>
      </w:r>
      <w:r w:rsidR="00A44A8B">
        <w:t xml:space="preserve">  The moist static energy flux is about 10% of the moisture convergence.</w:t>
      </w:r>
    </w:p>
    <w:p w:rsidR="005923BB" w:rsidRDefault="005923BB" w:rsidP="004F10FA"/>
    <w:p w:rsidR="006472FF" w:rsidRDefault="006472FF">
      <w:r>
        <w:br w:type="page"/>
      </w:r>
    </w:p>
    <w:p w:rsidR="00D513F2" w:rsidRDefault="006472FF" w:rsidP="00D513F2">
      <w:r>
        <w:rPr>
          <w:noProof/>
        </w:rPr>
        <w:lastRenderedPageBreak/>
        <w:drawing>
          <wp:inline distT="0" distB="0" distL="0" distR="0">
            <wp:extent cx="3467100" cy="260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_RF01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2FF" w:rsidRDefault="006472FF" w:rsidP="00D513F2">
      <w:r>
        <w:rPr>
          <w:noProof/>
        </w:rPr>
        <w:drawing>
          <wp:inline distT="0" distB="0" distL="0" distR="0">
            <wp:extent cx="292100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v_RF01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5600" cy="217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rtic_RF01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371" cy="218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3BB" w:rsidRDefault="005923BB" w:rsidP="00D513F2"/>
    <w:p w:rsidR="005923BB" w:rsidRDefault="005923BB" w:rsidP="00D513F2">
      <w:r>
        <w:rPr>
          <w:noProof/>
        </w:rPr>
        <w:drawing>
          <wp:inline distT="0" distB="0" distL="0" distR="0">
            <wp:extent cx="2876550" cy="21574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tVel_RF01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12" cy="21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AB0">
        <w:rPr>
          <w:noProof/>
        </w:rPr>
        <w:drawing>
          <wp:inline distT="0" distB="0" distL="0" distR="0" wp14:anchorId="176B7F68" wp14:editId="120370AF">
            <wp:extent cx="2714625" cy="22881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H_Theta_RF01.jpg"/>
                    <pic:cNvPicPr/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2" t="1" r="9221" b="3169"/>
                    <a:stretch/>
                  </pic:blipFill>
                  <pic:spPr bwMode="auto">
                    <a:xfrm>
                      <a:off x="0" y="0"/>
                      <a:ext cx="2761164" cy="2327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3BB" w:rsidRDefault="005923BB" w:rsidP="00D513F2">
      <w:r>
        <w:t>Sample profiles from Flight 01</w:t>
      </w:r>
      <w:r w:rsidR="00533D28">
        <w:t xml:space="preserve">; divergence, </w:t>
      </w:r>
      <w:proofErr w:type="spellStart"/>
      <w:r w:rsidR="00533D28">
        <w:t>etc</w:t>
      </w:r>
      <w:proofErr w:type="spellEnd"/>
      <w:r w:rsidR="00533D28">
        <w:t xml:space="preserve">, computer for data south of 6 </w:t>
      </w:r>
      <w:proofErr w:type="gramStart"/>
      <w:r w:rsidR="00533D28">
        <w:t>N.</w:t>
      </w:r>
      <w:r>
        <w:t>.</w:t>
      </w:r>
      <w:proofErr w:type="gramEnd"/>
    </w:p>
    <w:p w:rsidR="005923BB" w:rsidRDefault="005923BB">
      <w:r>
        <w:br w:type="page"/>
      </w:r>
    </w:p>
    <w:p w:rsidR="005923BB" w:rsidRDefault="005923BB" w:rsidP="00D513F2">
      <w:r>
        <w:rPr>
          <w:noProof/>
        </w:rPr>
        <w:lastRenderedPageBreak/>
        <w:drawing>
          <wp:inline distT="0" distB="0" distL="0" distR="0">
            <wp:extent cx="2679700" cy="2009775"/>
            <wp:effectExtent l="0" t="0" r="63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1_Q2_all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669" cy="201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A8B">
        <w:rPr>
          <w:noProof/>
        </w:rPr>
        <w:drawing>
          <wp:inline distT="0" distB="0" distL="0" distR="0" wp14:anchorId="4FC8C704" wp14:editId="6487B839">
            <wp:extent cx="2695575" cy="20216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istStatic_all.jp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669" cy="203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A8B" w:rsidRDefault="00A44A8B" w:rsidP="00D513F2"/>
    <w:p w:rsidR="00A44A8B" w:rsidRDefault="00A44A8B" w:rsidP="00D513F2">
      <w:r w:rsidRPr="00A44A8B">
        <w:rPr>
          <w:noProof/>
        </w:rPr>
        <w:drawing>
          <wp:inline distT="0" distB="0" distL="0" distR="0">
            <wp:extent cx="2730499" cy="2047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73" cy="207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BB" w:rsidRDefault="005923BB" w:rsidP="00D513F2"/>
    <w:p w:rsidR="005923BB" w:rsidRDefault="005923BB" w:rsidP="00D513F2">
      <w:r>
        <w:t>Example derived profiles from flights 01-15 for latitude &lt; 6 deg.</w:t>
      </w:r>
      <w:r w:rsidR="00A44A8B">
        <w:t xml:space="preserve">  </w:t>
      </w:r>
    </w:p>
    <w:p w:rsidR="005923BB" w:rsidRDefault="005923BB" w:rsidP="00D513F2"/>
    <w:p w:rsidR="00B874F1" w:rsidRDefault="00B874F1">
      <w:r>
        <w:br w:type="page"/>
      </w:r>
    </w:p>
    <w:p w:rsidR="00B874F1" w:rsidRDefault="00B874F1" w:rsidP="00D513F2">
      <w:r>
        <w:lastRenderedPageBreak/>
        <w:t xml:space="preserve">Johnson, R.H., P.E. </w:t>
      </w:r>
      <w:proofErr w:type="spellStart"/>
      <w:r>
        <w:t>Ciesielski</w:t>
      </w:r>
      <w:proofErr w:type="spellEnd"/>
      <w:r>
        <w:t xml:space="preserve">, H.H. </w:t>
      </w:r>
      <w:proofErr w:type="spellStart"/>
      <w:r>
        <w:t>Ruppert</w:t>
      </w:r>
      <w:proofErr w:type="spellEnd"/>
      <w:r>
        <w:t>, and M. Katsumata, 2015: Sounding-based thermodynamic budgets for DYNAMO.  J. Atmos. Sci., 72, 598- 622.</w:t>
      </w:r>
    </w:p>
    <w:p w:rsidR="00B874F1" w:rsidRDefault="00B874F1" w:rsidP="00D513F2">
      <w:r>
        <w:t xml:space="preserve">Luo, Q., and W.-W. Tung, 2015: Case study of moisture and heat budgets within atmospheric rivers.  Mon. </w:t>
      </w:r>
      <w:proofErr w:type="spellStart"/>
      <w:r>
        <w:t>Wea</w:t>
      </w:r>
      <w:proofErr w:type="spellEnd"/>
      <w:r>
        <w:t>. Rev., 143, 4145-4161.</w:t>
      </w:r>
    </w:p>
    <w:p w:rsidR="00B874F1" w:rsidRDefault="00B874F1" w:rsidP="00D513F2">
      <w:proofErr w:type="spellStart"/>
      <w:r>
        <w:t>Yanai</w:t>
      </w:r>
      <w:proofErr w:type="spellEnd"/>
      <w:r>
        <w:t xml:space="preserve">, M., S. </w:t>
      </w:r>
      <w:proofErr w:type="spellStart"/>
      <w:r>
        <w:t>Esbensen</w:t>
      </w:r>
      <w:proofErr w:type="spellEnd"/>
      <w:r>
        <w:t>, and J.-H. Chu, 1973: Determination of bulk properties of tropical cloud clusters from large-scale heat and moisture budgets.  J. Atmos. Sci., 30, 611-627.</w:t>
      </w:r>
    </w:p>
    <w:p w:rsidR="00B874F1" w:rsidRDefault="00B874F1" w:rsidP="00D513F2"/>
    <w:sectPr w:rsidR="00B8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9D6"/>
    <w:multiLevelType w:val="hybridMultilevel"/>
    <w:tmpl w:val="062E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2A"/>
    <w:rsid w:val="00067E5B"/>
    <w:rsid w:val="003F0A83"/>
    <w:rsid w:val="00426726"/>
    <w:rsid w:val="004F10FA"/>
    <w:rsid w:val="00533D28"/>
    <w:rsid w:val="005923BB"/>
    <w:rsid w:val="005D195F"/>
    <w:rsid w:val="0060129B"/>
    <w:rsid w:val="006472FF"/>
    <w:rsid w:val="00782326"/>
    <w:rsid w:val="0091395A"/>
    <w:rsid w:val="00A02EE2"/>
    <w:rsid w:val="00A44A8B"/>
    <w:rsid w:val="00B272CF"/>
    <w:rsid w:val="00B3436C"/>
    <w:rsid w:val="00B874F1"/>
    <w:rsid w:val="00B910C0"/>
    <w:rsid w:val="00D513F2"/>
    <w:rsid w:val="00D72C3A"/>
    <w:rsid w:val="00DB472A"/>
    <w:rsid w:val="00DB7AB0"/>
    <w:rsid w:val="00F0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B434E-9CDA-410C-BD0D-19068336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B910C0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B910C0"/>
  </w:style>
  <w:style w:type="paragraph" w:styleId="ListParagraph">
    <w:name w:val="List Paragraph"/>
    <w:basedOn w:val="Normal"/>
    <w:uiPriority w:val="34"/>
    <w:qFormat/>
    <w:rsid w:val="004F1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jp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2.jp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jp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21.jp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jpg"/><Relationship Id="rId40" Type="http://schemas.openxmlformats.org/officeDocument/2006/relationships/image" Target="media/image20.jpg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6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Fairall</dc:creator>
  <cp:keywords/>
  <dc:description/>
  <cp:lastModifiedBy>Chris Fairall</cp:lastModifiedBy>
  <cp:revision>12</cp:revision>
  <cp:lastPrinted>2016-03-04T16:41:00Z</cp:lastPrinted>
  <dcterms:created xsi:type="dcterms:W3CDTF">2016-03-03T19:12:00Z</dcterms:created>
  <dcterms:modified xsi:type="dcterms:W3CDTF">2016-03-04T22:03:00Z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