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w:hAnsi="Times" w:cs="Times" w:eastAsia="Times"/>
          <w:b/>
          <w:color w:val="000000"/>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Stratus 2018 Flux System Ship-Based </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w:hAnsi="Times" w:cs="Times" w:eastAsia="Times"/>
          <w:b/>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The ESRL/PSD Turbulent Flux System</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PSD Flux Measurement System consists of six components (Table 1): </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numPr>
          <w:ilvl w:val="0"/>
          <w:numId w:val="2"/>
        </w:num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Solar and infrared radiation sensors. Radiometers are mounted on top of bridge house 16m from Sea Surface. </w:t>
      </w:r>
    </w:p>
    <w:p>
      <w:pPr>
        <w:numPr>
          <w:ilvl w:val="0"/>
          <w:numId w:val="2"/>
        </w:num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Bulk Meteorology sensors (air temperature, relative humidity, atmospheric pressure and precipitation). Instruments are mounted on the top of a portable weather tower 15.39m from sea level. </w:t>
      </w:r>
    </w:p>
    <w:p>
      <w:pPr>
        <w:numPr>
          <w:ilvl w:val="0"/>
          <w:numId w:val="2"/>
        </w:num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One differential GPS units measuring heading and pitch information, installed above pilot house-port side about 15m from sea level.  </w:t>
      </w:r>
    </w:p>
    <w:p>
      <w:pPr>
        <w:numPr>
          <w:ilvl w:val="0"/>
          <w:numId w:val="2"/>
        </w:num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sea surface temperature measurement made with a floating thermistor deployed of port on the port side with outrigger.  </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tbl>
      <w:tblPr>
        <w:tblInd w:w="789" w:type="dxa"/>
      </w:tblPr>
      <w:tblGrid>
        <w:gridCol w:w="630"/>
        <w:gridCol w:w="3060"/>
        <w:gridCol w:w="4050"/>
      </w:tblGrid>
      <w:tr>
        <w:trPr>
          <w:trHeight w:val="1" w:hRule="atLeast"/>
          <w:jc w:val="left"/>
          <w:cantSplit w:val="1"/>
        </w:trPr>
        <w:tc>
          <w:tcPr>
            <w:tcW w:w="7740" w:type="dxa"/>
            <w:gridSpan w:val="3"/>
            <w:tcBorders>
              <w:top w:val="single" w:color="000000" w:sz="12"/>
              <w:left w:val="single" w:color="000000" w:sz="12"/>
              <w:bottom w:val="single" w:color="000000" w:sz="7"/>
              <w:right w:val="single" w:color="000000" w:sz="12"/>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Table 1.  Instruments and measurements for air-sea interaction studies</w:t>
            </w:r>
          </w:p>
        </w:tc>
      </w:tr>
      <w:tr>
        <w:trPr>
          <w:trHeight w:val="1" w:hRule="atLeast"/>
          <w:jc w:val="left"/>
        </w:trPr>
        <w:tc>
          <w:tcPr>
            <w:tcW w:w="630" w:type="dxa"/>
            <w:tcBorders>
              <w:top w:val="single" w:color="000000" w:sz="7"/>
              <w:left w:val="single" w:color="000000" w:sz="12"/>
              <w:bottom w:val="single" w:color="000000" w:sz="7"/>
              <w:right w:val="single" w:color="000000" w:sz="8"/>
            </w:tcBorders>
            <w:shd w:color="000000" w:fill="auto" w:val="pct5"/>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Item</w:t>
            </w:r>
          </w:p>
        </w:tc>
        <w:tc>
          <w:tcPr>
            <w:tcW w:w="3060" w:type="dxa"/>
            <w:tcBorders>
              <w:top w:val="single" w:color="000000" w:sz="7"/>
              <w:left w:val="single" w:color="000000" w:sz="8"/>
              <w:bottom w:val="single" w:color="000000" w:sz="7"/>
              <w:right w:val="single" w:color="000000" w:sz="8"/>
            </w:tcBorders>
            <w:shd w:color="000000" w:fill="auto" w:val="pct5"/>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System</w:t>
            </w:r>
          </w:p>
        </w:tc>
        <w:tc>
          <w:tcPr>
            <w:tcW w:w="4050" w:type="dxa"/>
            <w:tcBorders>
              <w:top w:val="single" w:color="000000" w:sz="7"/>
              <w:left w:val="single" w:color="000000" w:sz="8"/>
              <w:bottom w:val="single" w:color="000000" w:sz="7"/>
              <w:right w:val="single" w:color="000000" w:sz="12"/>
            </w:tcBorders>
            <w:shd w:color="000000" w:fill="auto" w:val="pct5"/>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Measurement</w:t>
            </w:r>
          </w:p>
        </w:tc>
      </w:tr>
      <w:tr>
        <w:trPr>
          <w:trHeight w:val="1" w:hRule="atLeast"/>
          <w:jc w:val="left"/>
        </w:trPr>
        <w:tc>
          <w:tcPr>
            <w:tcW w:w="630" w:type="dxa"/>
            <w:tcBorders>
              <w:top w:val="single" w:color="000000" w:sz="7"/>
              <w:left w:val="single" w:color="000000" w:sz="12"/>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Arial Narrow" w:hAnsi="Arial Narrow" w:cs="Arial Narrow" w:eastAsia="Arial Narrow"/>
                <w:color w:val="000000"/>
                <w:spacing w:val="0"/>
                <w:position w:val="0"/>
                <w:sz w:val="24"/>
                <w:shd w:fill="auto" w:val="clear"/>
              </w:rPr>
              <w:t xml:space="preserve">1</w:t>
            </w:r>
          </w:p>
        </w:tc>
        <w:tc>
          <w:tcPr>
            <w:tcW w:w="3060" w:type="dxa"/>
            <w:tcBorders>
              <w:top w:val="single" w:color="000000" w:sz="7"/>
              <w:left w:val="single" w:color="000000" w:sz="8"/>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color w:val="auto"/>
                <w:spacing w:val="0"/>
                <w:position w:val="0"/>
              </w:rPr>
            </w:pPr>
            <w:r>
              <w:rPr>
                <w:rFonts w:ascii="Arial Narrow" w:hAnsi="Arial Narrow" w:cs="Arial Narrow" w:eastAsia="Arial Narrow"/>
                <w:color w:val="auto"/>
                <w:spacing w:val="0"/>
                <w:position w:val="0"/>
                <w:sz w:val="24"/>
                <w:shd w:fill="auto" w:val="clear"/>
              </w:rPr>
              <w:t xml:space="preserve">Bulk Meterrology</w:t>
            </w:r>
          </w:p>
        </w:tc>
        <w:tc>
          <w:tcPr>
            <w:tcW w:w="4050" w:type="dxa"/>
            <w:tcBorders>
              <w:top w:val="single" w:color="000000" w:sz="7"/>
              <w:left w:val="single" w:color="000000" w:sz="8"/>
              <w:bottom w:val="single" w:color="000000" w:sz="7"/>
              <w:right w:val="single" w:color="000000" w:sz="12"/>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color w:val="auto"/>
                <w:spacing w:val="0"/>
                <w:position w:val="0"/>
              </w:rPr>
            </w:pPr>
            <w:r>
              <w:rPr>
                <w:rFonts w:ascii="Arial Narrow" w:hAnsi="Arial Narrow" w:cs="Arial Narrow" w:eastAsia="Arial Narrow"/>
                <w:color w:val="auto"/>
                <w:spacing w:val="0"/>
                <w:position w:val="0"/>
                <w:sz w:val="24"/>
                <w:shd w:fill="auto" w:val="clear"/>
              </w:rPr>
              <w:t xml:space="preserve">Air Temp, Relative Humidity,Wind Speed,Wind Direction, Atmospheric Pressure, Rain Rate.</w:t>
            </w:r>
          </w:p>
        </w:tc>
      </w:tr>
      <w:tr>
        <w:trPr>
          <w:trHeight w:val="1" w:hRule="atLeast"/>
          <w:jc w:val="left"/>
        </w:trPr>
        <w:tc>
          <w:tcPr>
            <w:tcW w:w="630" w:type="dxa"/>
            <w:tcBorders>
              <w:top w:val="single" w:color="000000" w:sz="7"/>
              <w:left w:val="single" w:color="000000" w:sz="12"/>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Arial Narrow" w:hAnsi="Arial Narrow" w:cs="Arial Narrow" w:eastAsia="Arial Narrow"/>
                <w:color w:val="000000"/>
                <w:spacing w:val="0"/>
                <w:position w:val="0"/>
                <w:sz w:val="24"/>
                <w:shd w:fill="auto" w:val="clear"/>
              </w:rPr>
              <w:t xml:space="preserve">2</w:t>
            </w:r>
          </w:p>
        </w:tc>
        <w:tc>
          <w:tcPr>
            <w:tcW w:w="3060" w:type="dxa"/>
            <w:tcBorders>
              <w:top w:val="single" w:color="000000" w:sz="7"/>
              <w:left w:val="single" w:color="000000" w:sz="8"/>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Arial Narrow" w:hAnsi="Arial Narrow" w:cs="Arial Narrow" w:eastAsia="Arial Narrow"/>
                <w:color w:val="000000"/>
                <w:spacing w:val="0"/>
                <w:position w:val="0"/>
                <w:sz w:val="24"/>
                <w:shd w:fill="auto" w:val="clear"/>
              </w:rPr>
              <w:t xml:space="preserve">Pyranometer &amp;Pyrgeometer</w:t>
            </w:r>
          </w:p>
        </w:tc>
        <w:tc>
          <w:tcPr>
            <w:tcW w:w="4050" w:type="dxa"/>
            <w:tcBorders>
              <w:top w:val="single" w:color="000000" w:sz="7"/>
              <w:left w:val="single" w:color="000000" w:sz="8"/>
              <w:bottom w:val="single" w:color="000000" w:sz="7"/>
              <w:right w:val="single" w:color="000000" w:sz="12"/>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Arial Narrow" w:hAnsi="Arial Narrow" w:cs="Arial Narrow" w:eastAsia="Arial Narrow"/>
                <w:color w:val="000000"/>
                <w:spacing w:val="0"/>
                <w:position w:val="0"/>
                <w:sz w:val="24"/>
                <w:shd w:fill="auto" w:val="clear"/>
              </w:rPr>
              <w:t xml:space="preserve">Downward solar radiative, IR flux</w:t>
            </w:r>
          </w:p>
        </w:tc>
      </w:tr>
      <w:tr>
        <w:trPr>
          <w:trHeight w:val="1" w:hRule="atLeast"/>
          <w:jc w:val="left"/>
        </w:trPr>
        <w:tc>
          <w:tcPr>
            <w:tcW w:w="630" w:type="dxa"/>
            <w:tcBorders>
              <w:top w:val="single" w:color="000000" w:sz="7"/>
              <w:left w:val="single" w:color="000000" w:sz="12"/>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Arial Narrow" w:hAnsi="Arial Narrow" w:cs="Arial Narrow" w:eastAsia="Arial Narrow"/>
                <w:color w:val="000000"/>
                <w:spacing w:val="0"/>
                <w:position w:val="0"/>
                <w:sz w:val="24"/>
                <w:shd w:fill="auto" w:val="clear"/>
              </w:rPr>
              <w:t xml:space="preserve">3</w:t>
            </w:r>
          </w:p>
        </w:tc>
        <w:tc>
          <w:tcPr>
            <w:tcW w:w="3060" w:type="dxa"/>
            <w:tcBorders>
              <w:top w:val="single" w:color="000000" w:sz="7"/>
              <w:left w:val="single" w:color="000000" w:sz="8"/>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Arial Narrow" w:hAnsi="Arial Narrow" w:cs="Arial Narrow" w:eastAsia="Arial Narrow"/>
                <w:color w:val="000000"/>
                <w:spacing w:val="0"/>
                <w:position w:val="0"/>
                <w:sz w:val="24"/>
                <w:shd w:fill="auto" w:val="clear"/>
              </w:rPr>
              <w:t xml:space="preserve">GPS and Heding</w:t>
            </w:r>
          </w:p>
        </w:tc>
        <w:tc>
          <w:tcPr>
            <w:tcW w:w="4050" w:type="dxa"/>
            <w:tcBorders>
              <w:top w:val="single" w:color="000000" w:sz="7"/>
              <w:left w:val="single" w:color="000000" w:sz="8"/>
              <w:bottom w:val="single" w:color="000000" w:sz="7"/>
              <w:right w:val="single" w:color="000000" w:sz="12"/>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color w:val="auto"/>
                <w:spacing w:val="0"/>
                <w:position w:val="0"/>
              </w:rPr>
            </w:pPr>
            <w:r>
              <w:rPr>
                <w:rFonts w:ascii="Arial Narrow" w:hAnsi="Arial Narrow" w:cs="Arial Narrow" w:eastAsia="Arial Narrow"/>
                <w:color w:val="auto"/>
                <w:spacing w:val="0"/>
                <w:position w:val="0"/>
                <w:sz w:val="24"/>
                <w:shd w:fill="auto" w:val="clear"/>
              </w:rPr>
              <w:t xml:space="preserve">Ship SOG, COG,Lat,Lon GPS and Heading</w:t>
            </w:r>
          </w:p>
        </w:tc>
      </w:tr>
      <w:tr>
        <w:trPr>
          <w:trHeight w:val="1" w:hRule="atLeast"/>
          <w:jc w:val="left"/>
        </w:trPr>
        <w:tc>
          <w:tcPr>
            <w:tcW w:w="630" w:type="dxa"/>
            <w:tcBorders>
              <w:top w:val="single" w:color="000000" w:sz="7"/>
              <w:left w:val="single" w:color="000000" w:sz="12"/>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color w:val="auto"/>
                <w:spacing w:val="0"/>
                <w:position w:val="0"/>
              </w:rPr>
            </w:pPr>
            <w:r>
              <w:rPr>
                <w:rFonts w:ascii="Arial Narrow" w:hAnsi="Arial Narrow" w:cs="Arial Narrow" w:eastAsia="Arial Narrow"/>
                <w:color w:val="auto"/>
                <w:spacing w:val="0"/>
                <w:position w:val="0"/>
                <w:sz w:val="24"/>
                <w:shd w:fill="auto" w:val="clear"/>
              </w:rPr>
              <w:t xml:space="preserve">4</w:t>
            </w:r>
          </w:p>
        </w:tc>
        <w:tc>
          <w:tcPr>
            <w:tcW w:w="3060" w:type="dxa"/>
            <w:tcBorders>
              <w:top w:val="single" w:color="000000" w:sz="7"/>
              <w:left w:val="single" w:color="000000" w:sz="8"/>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color w:val="auto"/>
                <w:spacing w:val="0"/>
                <w:position w:val="0"/>
              </w:rPr>
            </w:pPr>
            <w:r>
              <w:rPr>
                <w:rFonts w:ascii="Arial Narrow" w:hAnsi="Arial Narrow" w:cs="Arial Narrow" w:eastAsia="Arial Narrow"/>
                <w:color w:val="auto"/>
                <w:spacing w:val="0"/>
                <w:position w:val="0"/>
                <w:sz w:val="24"/>
                <w:shd w:fill="auto" w:val="clear"/>
              </w:rPr>
              <w:t xml:space="preserve">Sea Snake</w:t>
            </w:r>
          </w:p>
        </w:tc>
        <w:tc>
          <w:tcPr>
            <w:tcW w:w="4050" w:type="dxa"/>
            <w:tcBorders>
              <w:top w:val="single" w:color="000000" w:sz="7"/>
              <w:left w:val="single" w:color="000000" w:sz="8"/>
              <w:bottom w:val="single" w:color="000000" w:sz="7"/>
              <w:right w:val="single" w:color="000000" w:sz="12"/>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color w:val="auto"/>
                <w:spacing w:val="0"/>
                <w:position w:val="0"/>
              </w:rPr>
            </w:pPr>
            <w:r>
              <w:rPr>
                <w:rFonts w:ascii="Arial Narrow" w:hAnsi="Arial Narrow" w:cs="Arial Narrow" w:eastAsia="Arial Narrow"/>
                <w:color w:val="auto"/>
                <w:spacing w:val="0"/>
                <w:position w:val="0"/>
                <w:sz w:val="24"/>
                <w:shd w:fill="auto" w:val="clear"/>
              </w:rPr>
              <w:t xml:space="preserve">Near Surface Sea Temp</w:t>
            </w:r>
          </w:p>
        </w:tc>
      </w:tr>
      <w:tr>
        <w:trPr>
          <w:trHeight w:val="1" w:hRule="atLeast"/>
          <w:jc w:val="left"/>
        </w:trPr>
        <w:tc>
          <w:tcPr>
            <w:tcW w:w="630" w:type="dxa"/>
            <w:tcBorders>
              <w:top w:val="single" w:color="000000" w:sz="7"/>
              <w:left w:val="single" w:color="000000" w:sz="12"/>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3060" w:type="dxa"/>
            <w:tcBorders>
              <w:top w:val="single" w:color="000000" w:sz="7"/>
              <w:left w:val="single" w:color="000000" w:sz="8"/>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4050" w:type="dxa"/>
            <w:tcBorders>
              <w:top w:val="single" w:color="000000" w:sz="7"/>
              <w:left w:val="single" w:color="000000" w:sz="8"/>
              <w:bottom w:val="single" w:color="000000" w:sz="7"/>
              <w:right w:val="single" w:color="000000" w:sz="12"/>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30" w:type="dxa"/>
            <w:tcBorders>
              <w:top w:val="single" w:color="000000" w:sz="7"/>
              <w:left w:val="single" w:color="000000" w:sz="12"/>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3060" w:type="dxa"/>
            <w:tcBorders>
              <w:top w:val="single" w:color="000000" w:sz="7"/>
              <w:left w:val="single" w:color="000000" w:sz="8"/>
              <w:bottom w:val="single" w:color="000000" w:sz="7"/>
              <w:right w:val="single" w:color="000000" w:sz="8"/>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4050" w:type="dxa"/>
            <w:tcBorders>
              <w:top w:val="single" w:color="000000" w:sz="7"/>
              <w:left w:val="single" w:color="000000" w:sz="8"/>
              <w:bottom w:val="single" w:color="000000" w:sz="7"/>
              <w:right w:val="single" w:color="000000" w:sz="12"/>
            </w:tcBorders>
            <w:shd w:color="000000" w:fill="ffffff" w:val="clear"/>
            <w:tcMar>
              <w:left w:w="82" w:type="dxa"/>
              <w:right w:w="82" w:type="dxa"/>
            </w:tcMar>
            <w:vAlign w:val="top"/>
          </w:tcPr>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Instrument measurements are logged in a ship’s lab or in a sea container supplied by ESRL.  The systems will run continuously through the cruise, special attention on Day 100 to 102 of 2018 for Strauts18 data comparison. The ship’s SCS data provided by end og the day files The best situation for obtaining flux data is with the ship going slow ahead and the wind within 45 degrees of the bow.</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object w:dxaOrig="4211" w:dyaOrig="5629">
          <v:rect xmlns:o="urn:schemas-microsoft-com:office:office" xmlns:v="urn:schemas-microsoft-com:vml" id="rectole0000000000" style="width:210.550000pt;height:281.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object w:dxaOrig="4333" w:dyaOrig="3482">
          <v:rect xmlns:o="urn:schemas-microsoft-com:office:office" xmlns:v="urn:schemas-microsoft-com:vml" id="rectole0000000001" style="width:216.650000pt;height:174.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imes New Roman" w:hAnsi="Times New Roman" w:cs="Times New Roman" w:eastAsia="Times New Roman"/>
          <w:color w:val="000000"/>
          <w:spacing w:val="0"/>
          <w:position w:val="0"/>
          <w:sz w:val="24"/>
          <w:shd w:fill="auto" w:val="clear"/>
        </w:rPr>
        <w:t xml:space="preserve">    </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r>
        <w:object w:dxaOrig="6884" w:dyaOrig="7511">
          <v:rect xmlns:o="urn:schemas-microsoft-com:office:office" xmlns:v="urn:schemas-microsoft-com:vml" id="rectole0000000002" style="width:344.200000pt;height:375.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b/>
          <w:color w:val="000000"/>
          <w:spacing w:val="0"/>
          <w:position w:val="0"/>
          <w:sz w:val="24"/>
          <w:shd w:fill="auto" w:val="clear"/>
        </w:rPr>
        <w:t xml:space="preserve">  </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Figure A-1.</w:t>
      </w:r>
      <w:r>
        <w:rPr>
          <w:rFonts w:ascii="Times New Roman" w:hAnsi="Times New Roman" w:cs="Times New Roman" w:eastAsia="Times New Roman"/>
          <w:color w:val="000000"/>
          <w:spacing w:val="0"/>
          <w:position w:val="0"/>
          <w:sz w:val="24"/>
          <w:shd w:fill="auto" w:val="clear"/>
        </w:rPr>
        <w:t xml:space="preserve"> ESRL/PSD mast mounted on the </w:t>
      </w:r>
      <w:r>
        <w:rPr>
          <w:rFonts w:ascii="Times New Roman" w:hAnsi="Times New Roman" w:cs="Times New Roman" w:eastAsia="Times New Roman"/>
          <w:i/>
          <w:color w:val="000000"/>
          <w:spacing w:val="0"/>
          <w:position w:val="0"/>
          <w:sz w:val="24"/>
          <w:shd w:fill="auto" w:val="clear"/>
        </w:rPr>
        <w:t xml:space="preserve">Cabo de Hornos</w:t>
      </w:r>
      <w:r>
        <w:rPr>
          <w:rFonts w:ascii="Times New Roman" w:hAnsi="Times New Roman" w:cs="Times New Roman" w:eastAsia="Times New Roman"/>
          <w:color w:val="000000"/>
          <w:spacing w:val="0"/>
          <w:position w:val="0"/>
          <w:sz w:val="24"/>
          <w:shd w:fill="auto" w:val="clear"/>
        </w:rPr>
        <w:t xml:space="preserve">, showing the location of weather tower. Sea snake” is on the port side about 15m from the tower.</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object w:dxaOrig="7815" w:dyaOrig="9597">
          <v:rect xmlns:o="urn:schemas-microsoft-com:office:office" xmlns:v="urn:schemas-microsoft-com:vml" id="rectole0000000003" style="width:390.750000pt;height:479.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Figure A-2.</w:t>
      </w:r>
      <w:r>
        <w:rPr>
          <w:rFonts w:ascii="Times New Roman" w:hAnsi="Times New Roman" w:cs="Times New Roman" w:eastAsia="Times New Roman"/>
          <w:color w:val="000000"/>
          <w:spacing w:val="0"/>
          <w:position w:val="0"/>
          <w:sz w:val="24"/>
          <w:shd w:fill="auto" w:val="clear"/>
        </w:rPr>
        <w:t xml:space="preserve"> ESRL/PSD radiometers mounted on deck above the pilot house about 16.4m from sea level.</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Arial" w:hAnsi="Arial" w:cs="Arial" w:eastAsia="Arial"/>
          <w:color w:val="auto"/>
          <w:spacing w:val="0"/>
          <w:position w:val="0"/>
          <w:sz w:val="32"/>
          <w:shd w:fill="auto" w:val="clear"/>
        </w:rPr>
      </w:pPr>
      <w:r>
        <w:rPr>
          <w:rFonts w:ascii="Times New Roman" w:hAnsi="Times New Roman" w:cs="Times New Roman" w:eastAsia="Times New Roman"/>
          <w:b/>
          <w:color w:val="auto"/>
          <w:spacing w:val="0"/>
          <w:position w:val="0"/>
          <w:sz w:val="28"/>
          <w:shd w:fill="auto" w:val="clear"/>
        </w:rPr>
        <w:t xml:space="preserve">Stratus 2018 Flux System Ship-Based Sensors Coefficient Table</w:t>
      </w: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tbl>
      <w:tblPr/>
      <w:tblGrid>
        <w:gridCol w:w="2382"/>
        <w:gridCol w:w="2016"/>
        <w:gridCol w:w="2016"/>
        <w:gridCol w:w="1591"/>
        <w:gridCol w:w="2075"/>
      </w:tblGrid>
      <w:tr>
        <w:trPr>
          <w:trHeight w:val="512"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Sensor</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Calibration coefficient </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Make / Model</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Serial Number</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Date of calibration</w:t>
            </w:r>
          </w:p>
        </w:tc>
      </w:tr>
      <w:tr>
        <w:trPr>
          <w:trHeight w:val="720"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Precision Spectral Pyranometer</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0.009</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K&amp;Z/ CM22</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15713050122</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June, 2017</w:t>
            </w:r>
          </w:p>
        </w:tc>
      </w:tr>
      <w:tr>
        <w:trPr>
          <w:trHeight w:val="720"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Precision Spectral Pyranometer</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0.00951</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K&amp;Z/CMP22</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15521170518</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May, 2017</w:t>
            </w:r>
          </w:p>
        </w:tc>
      </w:tr>
      <w:tr>
        <w:trPr>
          <w:trHeight w:val="720"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Precision Infrared Radiometer</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0.00392</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Eppley / PIR 1</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38521F3</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April, 2017</w:t>
            </w:r>
          </w:p>
        </w:tc>
      </w:tr>
      <w:tr>
        <w:trPr>
          <w:trHeight w:val="720"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Precision Infrared Radiometer</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0.0026</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Eppley / PIR 2</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38519F3</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April, 2017</w:t>
            </w:r>
          </w:p>
        </w:tc>
      </w:tr>
      <w:tr>
        <w:trPr>
          <w:trHeight w:val="620"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Vaisala Weather Transmitter</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WXT-520</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L4720496</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Feb, 2017</w:t>
            </w:r>
          </w:p>
        </w:tc>
      </w:tr>
      <w:tr>
        <w:trPr>
          <w:trHeight w:val="620"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Temp / Humidity</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n/a</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Vaisala/HMT335</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C1110008</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602"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Class A Barometer</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n/a</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rPr>
            </w:pPr>
            <w:r>
              <w:rPr>
                <w:rFonts w:ascii="Times New Roman" w:hAnsi="Times New Roman" w:cs="Times New Roman" w:eastAsia="Times New Roman"/>
                <w:color w:val="auto"/>
                <w:spacing w:val="0"/>
                <w:position w:val="0"/>
                <w:sz w:val="20"/>
                <w:shd w:fill="auto" w:val="clear"/>
              </w:rPr>
              <w:t xml:space="preserve">Vaisala/ PTB220</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A2710002</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77"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Sea Snake thermistor 0C to 40C </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C4=0.001399937 C5=0.00237854 C6=0.000000097</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YSI 46031 series</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n/a</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720"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GPS and Heading</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Hemisphere/Crecent VS110</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072235040014</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720" w:hRule="auto"/>
          <w:jc w:val="left"/>
        </w:trPr>
        <w:tc>
          <w:tcPr>
            <w:tcW w:w="23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Datalogger</w:t>
            </w: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01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Campbell/CR1000</w:t>
            </w:r>
          </w:p>
        </w:tc>
        <w:tc>
          <w:tcPr>
            <w:tcW w:w="159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0"/>
                <w:shd w:fill="auto" w:val="clear"/>
              </w:rPr>
              <w:t xml:space="preserve">7908</w:t>
            </w:r>
          </w:p>
        </w:tc>
        <w:tc>
          <w:tcPr>
            <w:tcW w:w="207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Stratus 2018 Flux measurements result</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object w:dxaOrig="2340" w:dyaOrig="3071">
          <v:rect xmlns:o="urn:schemas-microsoft-com:office:office" xmlns:v="urn:schemas-microsoft-com:vml" id="rectole0000000004" style="width:117.000000pt;height:153.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2340" w:dyaOrig="3071">
          <v:rect xmlns:o="urn:schemas-microsoft-com:office:office" xmlns:v="urn:schemas-microsoft-com:vml" id="rectole0000000005" style="width:117.000000pt;height:153.5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2340" w:dyaOrig="3071">
          <v:rect xmlns:o="urn:schemas-microsoft-com:office:office" xmlns:v="urn:schemas-microsoft-com:vml" id="rectole0000000006" style="width:117.000000pt;height:153.5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2340" w:dyaOrig="3071">
          <v:rect xmlns:o="urn:schemas-microsoft-com:office:office" xmlns:v="urn:schemas-microsoft-com:vml" id="rectole0000000007" style="width:117.000000pt;height:153.5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object w:dxaOrig="2340" w:dyaOrig="3071">
          <v:rect xmlns:o="urn:schemas-microsoft-com:office:office" xmlns:v="urn:schemas-microsoft-com:vml" id="rectole0000000008" style="width:117.000000pt;height:153.5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object w:dxaOrig="2340" w:dyaOrig="3071">
          <v:rect xmlns:o="urn:schemas-microsoft-com:office:office" xmlns:v="urn:schemas-microsoft-com:vml" id="rectole0000000009" style="width:117.000000pt;height:153.5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object w:dxaOrig="2340" w:dyaOrig="3071">
          <v:rect xmlns:o="urn:schemas-microsoft-com:office:office" xmlns:v="urn:schemas-microsoft-com:vml" id="rectole0000000010" style="width:117.000000pt;height:153.5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object w:dxaOrig="2340" w:dyaOrig="1755">
          <v:rect xmlns:o="urn:schemas-microsoft-com:office:office" xmlns:v="urn:schemas-microsoft-com:vml" id="rectole0000000011" style="width:117.000000pt;height:87.7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object w:dxaOrig="2340" w:dyaOrig="1755">
          <v:rect xmlns:o="urn:schemas-microsoft-com:office:office" xmlns:v="urn:schemas-microsoft-com:vml" id="rectole0000000012" style="width:117.000000pt;height:87.7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rPr>
          <w:rFonts w:ascii="Calibri" w:hAnsi="Calibri" w:cs="Calibri" w:eastAsia="Calibri"/>
          <w:color w:val="auto"/>
          <w:spacing w:val="0"/>
          <w:position w:val="0"/>
          <w:sz w:val="22"/>
          <w:shd w:fill="auto" w:val="clear"/>
        </w:rPr>
        <w:t xml:space="preserve">￼</w:t>
      </w:r>
      <w:r>
        <w:rPr>
          <w:rFonts w:ascii="Times New Roman" w:hAnsi="Times New Roman" w:cs="Times New Roman" w:eastAsia="Times New Roman"/>
          <w:color w:val="000000"/>
          <w:spacing w:val="0"/>
          <w:position w:val="0"/>
          <w:sz w:val="24"/>
          <w:shd w:fill="auto" w:val="clear"/>
        </w:rPr>
        <w:t xml:space="preserve">￼</w: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r>
        <w:object w:dxaOrig="2520" w:dyaOrig="1890">
          <v:rect xmlns:o="urn:schemas-microsoft-com:office:office" xmlns:v="urn:schemas-microsoft-com:vml" id="rectole0000000013" style="width:126.000000pt;height:94.5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2520" w:dyaOrig="1890">
          <v:rect xmlns:o="urn:schemas-microsoft-com:office:office" xmlns:v="urn:schemas-microsoft-com:vml" id="rectole0000000014" style="width:126.000000pt;height:94.5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r>
        <w:object w:dxaOrig="2340" w:dyaOrig="1755">
          <v:rect xmlns:o="urn:schemas-microsoft-com:office:office" xmlns:v="urn:schemas-microsoft-com:vml" id="rectole0000000015" style="width:117.000000pt;height:87.7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object w:dxaOrig="2340" w:dyaOrig="1755">
          <v:rect xmlns:o="urn:schemas-microsoft-com:office:office" xmlns:v="urn:schemas-microsoft-com:vml" id="rectole0000000016" style="width:117.000000pt;height:87.7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r>
        <w:object w:dxaOrig="2340" w:dyaOrig="1755">
          <v:rect xmlns:o="urn:schemas-microsoft-com:office:office" xmlns:v="urn:schemas-microsoft-com:vml" id="rectole0000000017" style="width:117.000000pt;height:87.7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r>
        <w:object w:dxaOrig="2340" w:dyaOrig="1755">
          <v:rect xmlns:o="urn:schemas-microsoft-com:office:office" xmlns:v="urn:schemas-microsoft-com:vml" id="rectole0000000018" style="width:117.000000pt;height:87.7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r>
        <w:object w:dxaOrig="2340" w:dyaOrig="1755">
          <v:rect xmlns:o="urn:schemas-microsoft-com:office:office" xmlns:v="urn:schemas-microsoft-com:vml" id="rectole0000000019" style="width:117.000000pt;height:87.7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r>
        <w:object w:dxaOrig="2340" w:dyaOrig="1755">
          <v:rect xmlns:o="urn:schemas-microsoft-com:office:office" xmlns:v="urn:schemas-microsoft-com:vml" id="rectole0000000020" style="width:117.000000pt;height:87.7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r>
        <w:object w:dxaOrig="2340" w:dyaOrig="1755">
          <v:rect xmlns:o="urn:schemas-microsoft-com:office:office" xmlns:v="urn:schemas-microsoft-com:vml" id="rectole0000000021" style="width:117.000000pt;height:87.7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r>
        <w:object w:dxaOrig="2340" w:dyaOrig="1755">
          <v:rect xmlns:o="urn:schemas-microsoft-com:office:office" xmlns:v="urn:schemas-microsoft-com:vml" id="rectole0000000022" style="width:117.000000pt;height:87.7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r>
        <w:object w:dxaOrig="2340" w:dyaOrig="1755">
          <v:rect xmlns:o="urn:schemas-microsoft-com:office:office" xmlns:v="urn:schemas-microsoft-com:vml" id="rectole0000000023" style="width:117.000000pt;height:87.7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object w:dxaOrig="2340" w:dyaOrig="1755">
          <v:rect xmlns:o="urn:schemas-microsoft-com:office:office" xmlns:v="urn:schemas-microsoft-com:vml" id="rectole0000000024" style="width:117.000000pt;height:87.7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r>
        <w:object w:dxaOrig="2340" w:dyaOrig="1755">
          <v:rect xmlns:o="urn:schemas-microsoft-com:office:office" xmlns:v="urn:schemas-microsoft-com:vml" id="rectole0000000025" style="width:117.000000pt;height:87.7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r>
        <w:object w:dxaOrig="2340" w:dyaOrig="1755">
          <v:rect xmlns:o="urn:schemas-microsoft-com:office:office" xmlns:v="urn:schemas-microsoft-com:vml" id="rectole0000000026" style="width:117.000000pt;height:87.7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r>
        <w:object w:dxaOrig="2340" w:dyaOrig="1755">
          <v:rect xmlns:o="urn:schemas-microsoft-com:office:office" xmlns:v="urn:schemas-microsoft-com:vml" id="rectole0000000027" style="width:117.000000pt;height:87.7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p>
    <w:p>
      <w:pPr>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s>
        <w:spacing w:before="0" w:after="0" w:line="240"/>
        <w:ind w:right="0" w:left="0" w:firstLine="0"/>
        <w:jc w:val="left"/>
        <w:rPr>
          <w:rFonts w:ascii="Times New Roman" w:hAnsi="Times New Roman" w:cs="Times New Roman" w:eastAsia="Times New Roman"/>
          <w:color w:val="0000FF"/>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embeddings/oleObject17.bin" Id="docRId34" Type="http://schemas.openxmlformats.org/officeDocument/2006/relationships/oleObject"/><Relationship Target="media/image23.wmf" Id="docRId47" Type="http://schemas.openxmlformats.org/officeDocument/2006/relationships/image"/><Relationship Target="media/image27.wmf" Id="docRId5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media/image14.wmf" Id="docRId29" Type="http://schemas.openxmlformats.org/officeDocument/2006/relationships/image"/><Relationship Target="embeddings/oleObject18.bin" Id="docRId36" Type="http://schemas.openxmlformats.org/officeDocument/2006/relationships/oleObject"/><Relationship Target="media/image24.wmf" Id="docRId49" Type="http://schemas.openxmlformats.org/officeDocument/2006/relationships/image"/><Relationship Target="media/image26.wmf" Id="docRId53" Type="http://schemas.openxmlformats.org/officeDocument/2006/relationships/image"/><Relationship Target="media/image6.wmf" Id="docRId13" Type="http://schemas.openxmlformats.org/officeDocument/2006/relationships/image"/><Relationship Target="embeddings/oleObject10.bin" Id="docRId20" Type="http://schemas.openxmlformats.org/officeDocument/2006/relationships/oleObject"/><Relationship Target="embeddings/oleObject20.bin" Id="docRId4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embeddings/oleObject19.bin" Id="docRId38" Type="http://schemas.openxmlformats.org/officeDocument/2006/relationships/oleObject"/><Relationship Target="media/image25.wmf" Id="docRId51" Type="http://schemas.openxmlformats.org/officeDocument/2006/relationships/image"/><Relationship Target="media/image5.wmf" Id="docRId11"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embeddings/oleObject21.bin" Id="docRId42" Type="http://schemas.openxmlformats.org/officeDocument/2006/relationships/oleObject"/><Relationship Target="numbering.xml" Id="docRId56" Type="http://schemas.openxmlformats.org/officeDocument/2006/relationships/numbering"/><Relationship Target="embeddings/oleObject8.bin" Id="docRId16" Type="http://schemas.openxmlformats.org/officeDocument/2006/relationships/oleObject"/><Relationship Target="media/image12.wmf" Id="docRId25" Type="http://schemas.openxmlformats.org/officeDocument/2006/relationships/image"/><Relationship Target="embeddings/oleObject16.bin" Id="docRId32" Type="http://schemas.openxmlformats.org/officeDocument/2006/relationships/oleObject"/><Relationship Target="embeddings/oleObject2.bin" Id="docRId4" Type="http://schemas.openxmlformats.org/officeDocument/2006/relationships/oleObject"/><Relationship Target="media/image22.wmf" Id="docRId45" Type="http://schemas.openxmlformats.org/officeDocument/2006/relationships/image"/><Relationship Target="styles.xml" Id="docRId57" Type="http://schemas.openxmlformats.org/officeDocument/2006/relationships/styles"/><Relationship Target="media/image8.wmf" Id="docRId17" Type="http://schemas.openxmlformats.org/officeDocument/2006/relationships/image"/><Relationship Target="embeddings/oleObject12.bin" Id="docRId24" Type="http://schemas.openxmlformats.org/officeDocument/2006/relationships/oleObject"/><Relationship Target="media/image16.wmf" Id="docRId33" Type="http://schemas.openxmlformats.org/officeDocument/2006/relationships/image"/><Relationship Target="embeddings/oleObject22.bin" Id="docRId44" Type="http://schemas.openxmlformats.org/officeDocument/2006/relationships/oleObject"/><Relationship Target="embeddings/oleObject27.bin" Id="docRId5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media/image17.wmf" Id="docRId35" Type="http://schemas.openxmlformats.org/officeDocument/2006/relationships/image"/><Relationship Target="embeddings/oleObject23.bin" Id="docRId46" Type="http://schemas.openxmlformats.org/officeDocument/2006/relationships/oleObject"/><Relationship Target="embeddings/oleObject26.bin" Id="docRId52"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20.wmf" Id="docRId41" Type="http://schemas.openxmlformats.org/officeDocument/2006/relationships/image"/><Relationship Target="embeddings/oleObject4.bin" Id="docRId8"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media/image18.wmf" Id="docRId37" Type="http://schemas.openxmlformats.org/officeDocument/2006/relationships/image"/><Relationship Target="embeddings/oleObject24.bin" Id="docRId48" Type="http://schemas.openxmlformats.org/officeDocument/2006/relationships/oleObject"/><Relationship Target="embeddings/oleObject25.bin" Id="docRId50" Type="http://schemas.openxmlformats.org/officeDocument/2006/relationships/oleObject"/><Relationship Target="embeddings/oleObject5.bin" Id="docRId10"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media/image21.wmf" Id="docRId43" Type="http://schemas.openxmlformats.org/officeDocument/2006/relationships/image"/><Relationship Target="media/image9.wmf" Id="docRId19" Type="http://schemas.openxmlformats.org/officeDocument/2006/relationships/image"/><Relationship Target="media/image19.wmf" Id="docRId39" Type="http://schemas.openxmlformats.org/officeDocument/2006/relationships/image"/><Relationship Target="media/image2.wmf" Id="docRId5" Type="http://schemas.openxmlformats.org/officeDocument/2006/relationships/image"/></Relationships>
</file>